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DF048E">
        <w:rPr>
          <w:spacing w:val="-1"/>
        </w:rPr>
        <w:t>23/2026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w:t>
      </w:r>
      <w:r w:rsidR="00AC360C">
        <w:t>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footerReference w:type="default" r:id="rId9"/>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DF048E">
        <w:t>23/2026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AC360C">
        <w:t>... de</w:t>
      </w:r>
      <w:r w:rsidR="00AC360C">
        <w:tab/>
        <w:t>de 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3C537D"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66F0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DF048E">
        <w:t>23/2026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C537D"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D8A7"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DF048E">
        <w:t>23/2026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D8061F">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D8061F">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D8061F">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D8061F">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Default="00256794" w:rsidP="00256794">
      <w:pPr>
        <w:spacing w:before="1"/>
        <w:ind w:left="612"/>
        <w:jc w:val="center"/>
        <w:rPr>
          <w:b/>
          <w:u w:val="single"/>
        </w:rPr>
      </w:pPr>
      <w:r w:rsidRPr="00A87255">
        <w:rPr>
          <w:b/>
          <w:u w:val="single"/>
        </w:rPr>
        <w:t>PROPOSTA FINANCEIRA</w:t>
      </w:r>
    </w:p>
    <w:p w:rsidR="00DA21A3" w:rsidRDefault="00DA21A3" w:rsidP="00256794">
      <w:pPr>
        <w:spacing w:before="1"/>
        <w:ind w:left="612"/>
        <w:jc w:val="center"/>
        <w:rPr>
          <w:b/>
          <w:u w:val="single"/>
        </w:rPr>
      </w:pPr>
    </w:p>
    <w:p w:rsidR="00C40613" w:rsidRDefault="00C40613" w:rsidP="00D8061F">
      <w:pPr>
        <w:jc w:val="both"/>
      </w:pPr>
      <w:r w:rsidRPr="00A87255">
        <w:t xml:space="preserve">Objeto: </w:t>
      </w:r>
      <w:r w:rsidR="00704704" w:rsidRPr="00704704">
        <w:rPr>
          <w:b/>
          <w:lang w:val="pt-BR"/>
        </w:rPr>
        <w:t>AQUISIÇÃO DE CONJUNTOS DE GASTROSTOMIA</w:t>
      </w:r>
      <w:r w:rsidR="005442D3">
        <w:rPr>
          <w:b/>
        </w:rPr>
        <w:t xml:space="preserve">, </w:t>
      </w:r>
      <w:r w:rsidR="00DA21A3">
        <w:t xml:space="preserve">em atendimento a Prefeitura </w:t>
      </w:r>
      <w:r w:rsidR="00717362">
        <w:t>Munic</w:t>
      </w:r>
      <w:r w:rsidR="00DA21A3">
        <w:t>ipal</w:t>
      </w:r>
      <w:r w:rsidR="009E6987">
        <w:t xml:space="preserve"> de Pilar do Sul</w:t>
      </w:r>
      <w:r w:rsidRPr="00A87255">
        <w:t>, conforme especificações constantes no ANEXO I – TERMO DE REFERÊNCIA.</w:t>
      </w:r>
    </w:p>
    <w:p w:rsidR="00704704" w:rsidRDefault="00704704" w:rsidP="00C40613">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32"/>
        <w:gridCol w:w="632"/>
        <w:gridCol w:w="4840"/>
        <w:gridCol w:w="851"/>
        <w:gridCol w:w="996"/>
        <w:gridCol w:w="1060"/>
      </w:tblGrid>
      <w:tr w:rsidR="00704704" w:rsidRPr="0001792F" w:rsidTr="00DA21A3">
        <w:trPr>
          <w:trHeight w:val="300"/>
        </w:trPr>
        <w:tc>
          <w:tcPr>
            <w:tcW w:w="292" w:type="pct"/>
            <w:shd w:val="clear" w:color="auto" w:fill="auto"/>
            <w:noWrap/>
            <w:vAlign w:val="center"/>
            <w:hideMark/>
          </w:tcPr>
          <w:p w:rsidR="00704704" w:rsidRPr="0001792F" w:rsidRDefault="00704704" w:rsidP="00DF048E">
            <w:pPr>
              <w:jc w:val="center"/>
              <w:rPr>
                <w:rFonts w:cs="Arial"/>
                <w:b/>
                <w:bCs/>
                <w:lang w:eastAsia="pt-BR"/>
              </w:rPr>
            </w:pPr>
            <w:r w:rsidRPr="0001792F">
              <w:rPr>
                <w:rFonts w:cs="Arial"/>
                <w:b/>
                <w:bCs/>
                <w:lang w:eastAsia="pt-BR"/>
              </w:rPr>
              <w:t>ITEM</w:t>
            </w:r>
          </w:p>
        </w:tc>
        <w:tc>
          <w:tcPr>
            <w:tcW w:w="425" w:type="pct"/>
            <w:shd w:val="clear" w:color="auto" w:fill="auto"/>
            <w:vAlign w:val="center"/>
          </w:tcPr>
          <w:p w:rsidR="00704704" w:rsidRPr="0001792F" w:rsidRDefault="00704704" w:rsidP="00DF048E">
            <w:pPr>
              <w:jc w:val="center"/>
              <w:rPr>
                <w:rFonts w:cs="Arial"/>
                <w:b/>
                <w:bCs/>
                <w:lang w:eastAsia="pt-BR"/>
              </w:rPr>
            </w:pPr>
            <w:r w:rsidRPr="0001792F">
              <w:rPr>
                <w:rFonts w:cs="Arial"/>
                <w:b/>
                <w:bCs/>
                <w:lang w:eastAsia="pt-BR"/>
              </w:rPr>
              <w:t>QUANT.</w:t>
            </w:r>
          </w:p>
        </w:tc>
        <w:tc>
          <w:tcPr>
            <w:tcW w:w="323" w:type="pct"/>
            <w:shd w:val="clear" w:color="auto" w:fill="auto"/>
            <w:vAlign w:val="center"/>
          </w:tcPr>
          <w:p w:rsidR="00704704" w:rsidRPr="0001792F" w:rsidRDefault="00704704" w:rsidP="00DF048E">
            <w:pPr>
              <w:jc w:val="center"/>
              <w:rPr>
                <w:rFonts w:cs="Arial"/>
                <w:b/>
                <w:bCs/>
                <w:lang w:eastAsia="pt-BR"/>
              </w:rPr>
            </w:pPr>
            <w:r w:rsidRPr="0001792F">
              <w:rPr>
                <w:rFonts w:cs="Arial"/>
                <w:b/>
                <w:bCs/>
                <w:lang w:eastAsia="pt-BR"/>
              </w:rPr>
              <w:t>UNID.</w:t>
            </w:r>
          </w:p>
        </w:tc>
        <w:tc>
          <w:tcPr>
            <w:tcW w:w="2474" w:type="pct"/>
            <w:shd w:val="clear" w:color="auto" w:fill="auto"/>
            <w:noWrap/>
            <w:vAlign w:val="center"/>
            <w:hideMark/>
          </w:tcPr>
          <w:p w:rsidR="00704704" w:rsidRPr="0001792F" w:rsidRDefault="00704704" w:rsidP="00DF048E">
            <w:pPr>
              <w:pStyle w:val="Default"/>
              <w:jc w:val="center"/>
              <w:rPr>
                <w:rFonts w:ascii="Arial Narrow" w:hAnsi="Arial Narrow"/>
                <w:b/>
              </w:rPr>
            </w:pPr>
            <w:r w:rsidRPr="0001792F">
              <w:rPr>
                <w:rFonts w:ascii="Arial Narrow" w:hAnsi="Arial Narrow"/>
                <w:b/>
                <w:bCs/>
                <w:sz w:val="22"/>
                <w:szCs w:val="22"/>
              </w:rPr>
              <w:t>ESPECIFICAÇÃO</w:t>
            </w:r>
          </w:p>
        </w:tc>
        <w:tc>
          <w:tcPr>
            <w:tcW w:w="435" w:type="pct"/>
            <w:vAlign w:val="center"/>
          </w:tcPr>
          <w:p w:rsidR="00704704" w:rsidRPr="00704704" w:rsidRDefault="00704704" w:rsidP="00DF048E">
            <w:pPr>
              <w:jc w:val="center"/>
              <w:rPr>
                <w:rFonts w:cs="Arial"/>
                <w:b/>
                <w:bCs/>
                <w:lang w:eastAsia="pt-BR"/>
              </w:rPr>
            </w:pPr>
            <w:r w:rsidRPr="00704704">
              <w:rPr>
                <w:rFonts w:cs="Arial"/>
                <w:b/>
                <w:bCs/>
                <w:lang w:eastAsia="pt-BR"/>
              </w:rPr>
              <w:t>MARCA</w:t>
            </w:r>
          </w:p>
        </w:tc>
        <w:tc>
          <w:tcPr>
            <w:tcW w:w="509" w:type="pct"/>
            <w:vAlign w:val="center"/>
          </w:tcPr>
          <w:p w:rsidR="00704704" w:rsidRPr="00704704" w:rsidRDefault="00704704" w:rsidP="00DF048E">
            <w:pPr>
              <w:jc w:val="center"/>
              <w:rPr>
                <w:rFonts w:cs="Arial"/>
                <w:b/>
                <w:bCs/>
                <w:lang w:eastAsia="pt-BR"/>
              </w:rPr>
            </w:pPr>
            <w:r w:rsidRPr="00704704">
              <w:rPr>
                <w:rFonts w:cs="Arial"/>
                <w:b/>
                <w:bCs/>
                <w:lang w:eastAsia="pt-BR"/>
              </w:rPr>
              <w:t>VALOR UNIT. R$</w:t>
            </w:r>
          </w:p>
        </w:tc>
        <w:tc>
          <w:tcPr>
            <w:tcW w:w="542" w:type="pct"/>
            <w:vAlign w:val="center"/>
          </w:tcPr>
          <w:p w:rsidR="00704704" w:rsidRPr="00704704" w:rsidRDefault="00704704" w:rsidP="00DF048E">
            <w:pPr>
              <w:jc w:val="center"/>
              <w:rPr>
                <w:rFonts w:cs="Arial"/>
                <w:b/>
                <w:bCs/>
                <w:lang w:eastAsia="pt-BR"/>
              </w:rPr>
            </w:pPr>
            <w:r w:rsidRPr="00704704">
              <w:rPr>
                <w:rFonts w:cs="Arial"/>
                <w:b/>
                <w:bCs/>
                <w:lang w:eastAsia="pt-BR"/>
              </w:rPr>
              <w:t>VALOR TOTAL R$</w:t>
            </w:r>
          </w:p>
        </w:tc>
      </w:tr>
      <w:tr w:rsidR="00704704" w:rsidRPr="0001792F" w:rsidTr="00DA21A3">
        <w:trPr>
          <w:trHeight w:val="300"/>
        </w:trPr>
        <w:tc>
          <w:tcPr>
            <w:tcW w:w="292" w:type="pct"/>
            <w:shd w:val="clear" w:color="auto" w:fill="auto"/>
            <w:noWrap/>
            <w:vAlign w:val="center"/>
            <w:hideMark/>
          </w:tcPr>
          <w:p w:rsidR="00704704" w:rsidRPr="0001792F" w:rsidRDefault="00704704" w:rsidP="00DF048E">
            <w:pPr>
              <w:jc w:val="center"/>
              <w:rPr>
                <w:rFonts w:cs="Arial"/>
                <w:color w:val="000000"/>
                <w:lang w:eastAsia="pt-BR"/>
              </w:rPr>
            </w:pPr>
            <w:r w:rsidRPr="0001792F">
              <w:rPr>
                <w:rFonts w:cs="Arial"/>
                <w:color w:val="000000"/>
                <w:lang w:eastAsia="pt-BR"/>
              </w:rPr>
              <w:t>1</w:t>
            </w:r>
          </w:p>
        </w:tc>
        <w:tc>
          <w:tcPr>
            <w:tcW w:w="425"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6</w:t>
            </w:r>
          </w:p>
        </w:tc>
        <w:tc>
          <w:tcPr>
            <w:tcW w:w="323"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Unid.</w:t>
            </w:r>
          </w:p>
        </w:tc>
        <w:tc>
          <w:tcPr>
            <w:tcW w:w="2474" w:type="pct"/>
            <w:shd w:val="clear" w:color="auto" w:fill="auto"/>
            <w:vAlign w:val="center"/>
          </w:tcPr>
          <w:p w:rsidR="00704704" w:rsidRPr="0001792F" w:rsidRDefault="00704704" w:rsidP="00DF048E">
            <w:pPr>
              <w:pStyle w:val="Default"/>
              <w:jc w:val="both"/>
              <w:rPr>
                <w:rFonts w:ascii="Arial Narrow" w:hAnsi="Arial Narrow"/>
              </w:rPr>
            </w:pPr>
            <w:r w:rsidRPr="0001792F">
              <w:rPr>
                <w:rFonts w:ascii="Arial Narrow" w:hAnsi="Arial Narrow"/>
                <w:sz w:val="22"/>
                <w:szCs w:val="22"/>
              </w:rPr>
              <w:t>Conjunto para gastrostomia (semelhante ao MIC-KEY), Sonda Botton calibre 12 Fr, com comprimento de haste de acordo com a necessidade do paciente. Fabricado em silicone de grau médico com fita radiopaca integral e ponta atraumática. Possui balão de fixação interna com inflagem simétrica (3 a 5 ml), válvula de enchimento e sistema antirrefluxo superior. O design preza pelo conforto e discrição, contando com trava de segurança para conexão de extensores. O kit é completo, incluindo sonda extensora com pinça para bôlus e seringa de 35cc. Produto de alta performance para melhor aproveitamento da dieta, devendo seguir as orientações do relatório médico anexo.</w:t>
            </w:r>
          </w:p>
        </w:tc>
        <w:tc>
          <w:tcPr>
            <w:tcW w:w="435" w:type="pct"/>
          </w:tcPr>
          <w:p w:rsidR="00704704" w:rsidRPr="0001792F" w:rsidRDefault="00704704" w:rsidP="00DF048E">
            <w:pPr>
              <w:pStyle w:val="Default"/>
              <w:jc w:val="both"/>
              <w:rPr>
                <w:rFonts w:ascii="Arial Narrow" w:hAnsi="Arial Narrow"/>
                <w:sz w:val="22"/>
                <w:szCs w:val="22"/>
              </w:rPr>
            </w:pPr>
          </w:p>
        </w:tc>
        <w:tc>
          <w:tcPr>
            <w:tcW w:w="509" w:type="pct"/>
          </w:tcPr>
          <w:p w:rsidR="00704704" w:rsidRPr="0001792F" w:rsidRDefault="00704704" w:rsidP="00DF048E">
            <w:pPr>
              <w:pStyle w:val="Default"/>
              <w:jc w:val="both"/>
              <w:rPr>
                <w:rFonts w:ascii="Arial Narrow" w:hAnsi="Arial Narrow"/>
                <w:sz w:val="22"/>
                <w:szCs w:val="22"/>
              </w:rPr>
            </w:pPr>
          </w:p>
        </w:tc>
        <w:tc>
          <w:tcPr>
            <w:tcW w:w="542" w:type="pct"/>
          </w:tcPr>
          <w:p w:rsidR="00704704" w:rsidRPr="0001792F" w:rsidRDefault="00704704" w:rsidP="00DF048E">
            <w:pPr>
              <w:pStyle w:val="Default"/>
              <w:jc w:val="both"/>
              <w:rPr>
                <w:rFonts w:ascii="Arial Narrow" w:hAnsi="Arial Narrow"/>
                <w:sz w:val="22"/>
                <w:szCs w:val="22"/>
              </w:rPr>
            </w:pPr>
          </w:p>
        </w:tc>
      </w:tr>
      <w:tr w:rsidR="00704704" w:rsidRPr="0001792F" w:rsidTr="00DA21A3">
        <w:trPr>
          <w:trHeight w:val="300"/>
        </w:trPr>
        <w:tc>
          <w:tcPr>
            <w:tcW w:w="292" w:type="pct"/>
            <w:shd w:val="clear" w:color="auto" w:fill="auto"/>
            <w:noWrap/>
            <w:vAlign w:val="center"/>
            <w:hideMark/>
          </w:tcPr>
          <w:p w:rsidR="00704704" w:rsidRPr="0001792F" w:rsidRDefault="00704704" w:rsidP="00DF048E">
            <w:pPr>
              <w:jc w:val="center"/>
              <w:rPr>
                <w:rFonts w:cs="Arial"/>
                <w:color w:val="000000"/>
                <w:lang w:eastAsia="pt-BR"/>
              </w:rPr>
            </w:pPr>
            <w:r w:rsidRPr="0001792F">
              <w:rPr>
                <w:rFonts w:cs="Arial"/>
                <w:color w:val="000000"/>
                <w:lang w:eastAsia="pt-BR"/>
              </w:rPr>
              <w:t>2</w:t>
            </w:r>
          </w:p>
        </w:tc>
        <w:tc>
          <w:tcPr>
            <w:tcW w:w="425"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10</w:t>
            </w:r>
          </w:p>
        </w:tc>
        <w:tc>
          <w:tcPr>
            <w:tcW w:w="323"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Unid.</w:t>
            </w:r>
          </w:p>
        </w:tc>
        <w:tc>
          <w:tcPr>
            <w:tcW w:w="2474" w:type="pct"/>
            <w:shd w:val="clear" w:color="auto" w:fill="auto"/>
            <w:vAlign w:val="center"/>
          </w:tcPr>
          <w:p w:rsidR="00704704" w:rsidRPr="0001792F" w:rsidRDefault="00704704" w:rsidP="00DF048E">
            <w:pPr>
              <w:pStyle w:val="Default"/>
              <w:jc w:val="both"/>
              <w:rPr>
                <w:rFonts w:ascii="Arial Narrow" w:hAnsi="Arial Narrow"/>
                <w:sz w:val="22"/>
                <w:szCs w:val="22"/>
              </w:rPr>
            </w:pPr>
            <w:r w:rsidRPr="0001792F">
              <w:rPr>
                <w:rFonts w:ascii="Arial Narrow" w:hAnsi="Arial Narrow"/>
                <w:sz w:val="22"/>
                <w:szCs w:val="22"/>
              </w:rPr>
              <w:t xml:space="preserve">Conjunto para gastrostomia (semelhante ao MIC-KEY), Sonda Botton calibre 14 Fr, com comprimento de haste de acordo com a necessidade do paciente. Fabricado em silicone de grau médico com fita radiopaca integral e ponta atraumática. Possui balão de fixação interna com inflagem simétrica (3 a 5 ml), válvula de enchimento e sistema antirrefluxo superior. O design preza pelo conforto e discrição, contando com trava de segurança para conexão de extensores. O kit é completo, incluindo sonda extensora com pinça para bôlus e seringa de 35cc. Produto de alta performance para melhor aproveitamento da dieta, devendo seguir as orientações do relatório médico anexo. </w:t>
            </w:r>
          </w:p>
        </w:tc>
        <w:tc>
          <w:tcPr>
            <w:tcW w:w="435" w:type="pct"/>
          </w:tcPr>
          <w:p w:rsidR="00704704" w:rsidRPr="0001792F" w:rsidRDefault="00704704" w:rsidP="00DF048E">
            <w:pPr>
              <w:pStyle w:val="Default"/>
              <w:jc w:val="both"/>
              <w:rPr>
                <w:rFonts w:ascii="Arial Narrow" w:hAnsi="Arial Narrow"/>
                <w:sz w:val="22"/>
                <w:szCs w:val="22"/>
              </w:rPr>
            </w:pPr>
          </w:p>
        </w:tc>
        <w:tc>
          <w:tcPr>
            <w:tcW w:w="509" w:type="pct"/>
          </w:tcPr>
          <w:p w:rsidR="00704704" w:rsidRPr="0001792F" w:rsidRDefault="00704704" w:rsidP="00DF048E">
            <w:pPr>
              <w:pStyle w:val="Default"/>
              <w:jc w:val="both"/>
              <w:rPr>
                <w:rFonts w:ascii="Arial Narrow" w:hAnsi="Arial Narrow"/>
                <w:sz w:val="22"/>
                <w:szCs w:val="22"/>
              </w:rPr>
            </w:pPr>
          </w:p>
        </w:tc>
        <w:tc>
          <w:tcPr>
            <w:tcW w:w="542" w:type="pct"/>
          </w:tcPr>
          <w:p w:rsidR="00704704" w:rsidRPr="0001792F" w:rsidRDefault="00704704" w:rsidP="00DF048E">
            <w:pPr>
              <w:pStyle w:val="Default"/>
              <w:jc w:val="both"/>
              <w:rPr>
                <w:rFonts w:ascii="Arial Narrow" w:hAnsi="Arial Narrow"/>
                <w:sz w:val="22"/>
                <w:szCs w:val="22"/>
              </w:rPr>
            </w:pPr>
          </w:p>
        </w:tc>
      </w:tr>
      <w:tr w:rsidR="00704704" w:rsidRPr="0001792F" w:rsidTr="00DA21A3">
        <w:trPr>
          <w:trHeight w:val="300"/>
        </w:trPr>
        <w:tc>
          <w:tcPr>
            <w:tcW w:w="292" w:type="pct"/>
            <w:shd w:val="clear" w:color="auto" w:fill="auto"/>
            <w:noWrap/>
            <w:vAlign w:val="center"/>
            <w:hideMark/>
          </w:tcPr>
          <w:p w:rsidR="00704704" w:rsidRPr="0001792F" w:rsidRDefault="00704704" w:rsidP="00DF048E">
            <w:pPr>
              <w:jc w:val="center"/>
              <w:rPr>
                <w:rFonts w:cs="Arial"/>
                <w:color w:val="000000"/>
                <w:lang w:eastAsia="pt-BR"/>
              </w:rPr>
            </w:pPr>
            <w:r w:rsidRPr="0001792F">
              <w:rPr>
                <w:rFonts w:cs="Arial"/>
                <w:color w:val="000000"/>
                <w:lang w:eastAsia="pt-BR"/>
              </w:rPr>
              <w:t>3</w:t>
            </w:r>
          </w:p>
        </w:tc>
        <w:tc>
          <w:tcPr>
            <w:tcW w:w="425"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8</w:t>
            </w:r>
          </w:p>
        </w:tc>
        <w:tc>
          <w:tcPr>
            <w:tcW w:w="323"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Unid.</w:t>
            </w:r>
          </w:p>
        </w:tc>
        <w:tc>
          <w:tcPr>
            <w:tcW w:w="2474" w:type="pct"/>
            <w:shd w:val="clear" w:color="auto" w:fill="auto"/>
            <w:vAlign w:val="center"/>
          </w:tcPr>
          <w:p w:rsidR="00704704" w:rsidRPr="0001792F" w:rsidRDefault="00704704" w:rsidP="00DF048E">
            <w:pPr>
              <w:pStyle w:val="Default"/>
              <w:jc w:val="both"/>
              <w:rPr>
                <w:rFonts w:ascii="Arial Narrow" w:hAnsi="Arial Narrow"/>
              </w:rPr>
            </w:pPr>
            <w:r w:rsidRPr="0001792F">
              <w:rPr>
                <w:rFonts w:ascii="Arial Narrow" w:hAnsi="Arial Narrow"/>
                <w:sz w:val="22"/>
                <w:szCs w:val="22"/>
              </w:rPr>
              <w:t xml:space="preserve">Conjunto para gastrostomia (semelhante ao MIC-KEY), Sonda Botton calibre 16 Fr, com comprimento de haste de acordo com a necessidade do paciente. Fabricado em silicone de grau médico com fita radiopaca integral e ponta atraumática. Possui balão de fixação interna com inflagem simétrica (3 a 5 ml), válvula de enchimento e sistema antirrefluxo superior. O design preza pelo conforto e discrição, contando com trava de segurança para conexão de extensores. O kit é completo, incluindo sonda extensora com pinça para bôlus e seringa de 35cc. Produto de alta performance para melhor aproveitamento da dieta, devendo seguir as orientações do relatório médico anexo. </w:t>
            </w:r>
          </w:p>
        </w:tc>
        <w:tc>
          <w:tcPr>
            <w:tcW w:w="435" w:type="pct"/>
          </w:tcPr>
          <w:p w:rsidR="00704704" w:rsidRPr="0001792F" w:rsidRDefault="00704704" w:rsidP="00DF048E">
            <w:pPr>
              <w:pStyle w:val="Default"/>
              <w:jc w:val="both"/>
              <w:rPr>
                <w:rFonts w:ascii="Arial Narrow" w:hAnsi="Arial Narrow"/>
                <w:sz w:val="22"/>
                <w:szCs w:val="22"/>
              </w:rPr>
            </w:pPr>
          </w:p>
        </w:tc>
        <w:tc>
          <w:tcPr>
            <w:tcW w:w="509" w:type="pct"/>
          </w:tcPr>
          <w:p w:rsidR="00704704" w:rsidRPr="0001792F" w:rsidRDefault="00704704" w:rsidP="00DF048E">
            <w:pPr>
              <w:pStyle w:val="Default"/>
              <w:jc w:val="both"/>
              <w:rPr>
                <w:rFonts w:ascii="Arial Narrow" w:hAnsi="Arial Narrow"/>
                <w:sz w:val="22"/>
                <w:szCs w:val="22"/>
              </w:rPr>
            </w:pPr>
          </w:p>
        </w:tc>
        <w:tc>
          <w:tcPr>
            <w:tcW w:w="542" w:type="pct"/>
          </w:tcPr>
          <w:p w:rsidR="00704704" w:rsidRPr="0001792F" w:rsidRDefault="00704704" w:rsidP="00DF048E">
            <w:pPr>
              <w:pStyle w:val="Default"/>
              <w:jc w:val="both"/>
              <w:rPr>
                <w:rFonts w:ascii="Arial Narrow" w:hAnsi="Arial Narrow"/>
                <w:sz w:val="22"/>
                <w:szCs w:val="22"/>
              </w:rPr>
            </w:pPr>
          </w:p>
        </w:tc>
      </w:tr>
      <w:tr w:rsidR="00704704" w:rsidRPr="0001792F" w:rsidTr="00DA21A3">
        <w:trPr>
          <w:trHeight w:val="300"/>
        </w:trPr>
        <w:tc>
          <w:tcPr>
            <w:tcW w:w="292" w:type="pct"/>
            <w:shd w:val="clear" w:color="auto" w:fill="auto"/>
            <w:noWrap/>
            <w:vAlign w:val="center"/>
            <w:hideMark/>
          </w:tcPr>
          <w:p w:rsidR="00704704" w:rsidRPr="0001792F" w:rsidRDefault="00704704" w:rsidP="00DF048E">
            <w:pPr>
              <w:jc w:val="center"/>
              <w:rPr>
                <w:rFonts w:cs="Arial"/>
                <w:color w:val="000000"/>
                <w:lang w:eastAsia="pt-BR"/>
              </w:rPr>
            </w:pPr>
            <w:r w:rsidRPr="0001792F">
              <w:rPr>
                <w:rFonts w:cs="Arial"/>
                <w:color w:val="000000"/>
                <w:lang w:eastAsia="pt-BR"/>
              </w:rPr>
              <w:t>4</w:t>
            </w:r>
          </w:p>
        </w:tc>
        <w:tc>
          <w:tcPr>
            <w:tcW w:w="425"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2</w:t>
            </w:r>
          </w:p>
        </w:tc>
        <w:tc>
          <w:tcPr>
            <w:tcW w:w="323"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Unid.</w:t>
            </w:r>
          </w:p>
        </w:tc>
        <w:tc>
          <w:tcPr>
            <w:tcW w:w="2474" w:type="pct"/>
            <w:shd w:val="clear" w:color="auto" w:fill="auto"/>
            <w:vAlign w:val="center"/>
          </w:tcPr>
          <w:p w:rsidR="00704704" w:rsidRPr="0001792F" w:rsidRDefault="00704704" w:rsidP="00DF048E">
            <w:pPr>
              <w:pStyle w:val="Default"/>
              <w:jc w:val="both"/>
              <w:rPr>
                <w:rFonts w:ascii="Arial Narrow" w:hAnsi="Arial Narrow"/>
              </w:rPr>
            </w:pPr>
            <w:r w:rsidRPr="0001792F">
              <w:rPr>
                <w:rFonts w:ascii="Arial Narrow" w:hAnsi="Arial Narrow"/>
                <w:sz w:val="22"/>
                <w:szCs w:val="22"/>
              </w:rPr>
              <w:t xml:space="preserve">Conjunto para gastrostomia (semelhante ao MIC-KEY), Sonda Botton calibre 18 Fr, com comprimento de haste de acordo com a necessidade do paciente. Fabricado em silicone de grau médico com fita radiopaca integral e ponta atraumática. Possui balão de fixação interna com inflagem simétrica (3 a 5 ml), válvula de enchimento e sistema antirrefluxo superior. O design preza pelo conforto e discrição, contando com trava de segurança para conexão de extensores. O kit é completo, incluindo sonda extensora com pinça para bôlus e seringa de 35cc. Produto de alta performance para melhor aproveitamento da dieta, devendo seguir as orientações do relatório médico anexo. </w:t>
            </w:r>
          </w:p>
        </w:tc>
        <w:tc>
          <w:tcPr>
            <w:tcW w:w="435" w:type="pct"/>
          </w:tcPr>
          <w:p w:rsidR="00704704" w:rsidRPr="0001792F" w:rsidRDefault="00704704" w:rsidP="00DF048E">
            <w:pPr>
              <w:pStyle w:val="Default"/>
              <w:jc w:val="both"/>
              <w:rPr>
                <w:rFonts w:ascii="Arial Narrow" w:hAnsi="Arial Narrow"/>
                <w:sz w:val="22"/>
                <w:szCs w:val="22"/>
              </w:rPr>
            </w:pPr>
          </w:p>
        </w:tc>
        <w:tc>
          <w:tcPr>
            <w:tcW w:w="509" w:type="pct"/>
          </w:tcPr>
          <w:p w:rsidR="00704704" w:rsidRPr="0001792F" w:rsidRDefault="00704704" w:rsidP="00DF048E">
            <w:pPr>
              <w:pStyle w:val="Default"/>
              <w:jc w:val="both"/>
              <w:rPr>
                <w:rFonts w:ascii="Arial Narrow" w:hAnsi="Arial Narrow"/>
                <w:sz w:val="22"/>
                <w:szCs w:val="22"/>
              </w:rPr>
            </w:pPr>
          </w:p>
        </w:tc>
        <w:tc>
          <w:tcPr>
            <w:tcW w:w="542" w:type="pct"/>
          </w:tcPr>
          <w:p w:rsidR="00704704" w:rsidRPr="0001792F" w:rsidRDefault="00704704" w:rsidP="00DF048E">
            <w:pPr>
              <w:pStyle w:val="Default"/>
              <w:jc w:val="both"/>
              <w:rPr>
                <w:rFonts w:ascii="Arial Narrow" w:hAnsi="Arial Narrow"/>
                <w:sz w:val="22"/>
                <w:szCs w:val="22"/>
              </w:rPr>
            </w:pPr>
          </w:p>
        </w:tc>
      </w:tr>
      <w:tr w:rsidR="00704704" w:rsidRPr="0001792F" w:rsidTr="00DA21A3">
        <w:trPr>
          <w:trHeight w:val="300"/>
        </w:trPr>
        <w:tc>
          <w:tcPr>
            <w:tcW w:w="292" w:type="pct"/>
            <w:shd w:val="clear" w:color="auto" w:fill="auto"/>
            <w:noWrap/>
            <w:vAlign w:val="center"/>
            <w:hideMark/>
          </w:tcPr>
          <w:p w:rsidR="00704704" w:rsidRPr="0001792F" w:rsidRDefault="00704704" w:rsidP="00DF048E">
            <w:pPr>
              <w:jc w:val="center"/>
              <w:rPr>
                <w:rFonts w:cs="Arial"/>
                <w:color w:val="000000"/>
                <w:lang w:eastAsia="pt-BR"/>
              </w:rPr>
            </w:pPr>
            <w:r w:rsidRPr="0001792F">
              <w:rPr>
                <w:rFonts w:cs="Arial"/>
                <w:color w:val="000000"/>
                <w:lang w:eastAsia="pt-BR"/>
              </w:rPr>
              <w:t>5</w:t>
            </w:r>
          </w:p>
        </w:tc>
        <w:tc>
          <w:tcPr>
            <w:tcW w:w="425"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2</w:t>
            </w:r>
          </w:p>
        </w:tc>
        <w:tc>
          <w:tcPr>
            <w:tcW w:w="323"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Unid.</w:t>
            </w:r>
          </w:p>
        </w:tc>
        <w:tc>
          <w:tcPr>
            <w:tcW w:w="2474" w:type="pct"/>
            <w:shd w:val="clear" w:color="auto" w:fill="auto"/>
            <w:vAlign w:val="center"/>
          </w:tcPr>
          <w:p w:rsidR="00704704" w:rsidRPr="0001792F" w:rsidRDefault="00704704" w:rsidP="00DF048E">
            <w:pPr>
              <w:pStyle w:val="Default"/>
              <w:jc w:val="both"/>
              <w:rPr>
                <w:rFonts w:ascii="Arial Narrow" w:hAnsi="Arial Narrow"/>
              </w:rPr>
            </w:pPr>
            <w:r w:rsidRPr="0001792F">
              <w:rPr>
                <w:rFonts w:ascii="Arial Narrow" w:hAnsi="Arial Narrow"/>
                <w:sz w:val="22"/>
                <w:szCs w:val="22"/>
              </w:rPr>
              <w:t xml:space="preserve">Conjunto para gastrostomia (semelhante ao MIC-KEY), Sonda Botton calibre 20 Fr, com comprimento de haste de acordo a necessidade do paciente. Fabricado em silicone de grau médico com fita radiopaca integral e ponta atraumática. Possui balão de fixação interna com inflagem simétrica (3 a 5 ml), válvula de enchimento e sistema antirrefluxo superior. O design preza pelo conforto e discrição, contando com trava de segurança para conexão de extensores. O kit é completo, incluindo sonda extensora com pinça para bôlus e seringa de 35cc. Produto de alta performance para melhor aproveitamento da dieta, devendo seguir as orientações do relatório médico anexo. </w:t>
            </w:r>
          </w:p>
        </w:tc>
        <w:tc>
          <w:tcPr>
            <w:tcW w:w="435" w:type="pct"/>
          </w:tcPr>
          <w:p w:rsidR="00704704" w:rsidRPr="0001792F" w:rsidRDefault="00704704" w:rsidP="00DF048E">
            <w:pPr>
              <w:pStyle w:val="Default"/>
              <w:jc w:val="both"/>
              <w:rPr>
                <w:rFonts w:ascii="Arial Narrow" w:hAnsi="Arial Narrow"/>
                <w:sz w:val="22"/>
                <w:szCs w:val="22"/>
              </w:rPr>
            </w:pPr>
          </w:p>
        </w:tc>
        <w:tc>
          <w:tcPr>
            <w:tcW w:w="509" w:type="pct"/>
          </w:tcPr>
          <w:p w:rsidR="00704704" w:rsidRPr="0001792F" w:rsidRDefault="00704704" w:rsidP="00DF048E">
            <w:pPr>
              <w:pStyle w:val="Default"/>
              <w:jc w:val="both"/>
              <w:rPr>
                <w:rFonts w:ascii="Arial Narrow" w:hAnsi="Arial Narrow"/>
                <w:sz w:val="22"/>
                <w:szCs w:val="22"/>
              </w:rPr>
            </w:pPr>
          </w:p>
        </w:tc>
        <w:tc>
          <w:tcPr>
            <w:tcW w:w="542" w:type="pct"/>
          </w:tcPr>
          <w:p w:rsidR="00704704" w:rsidRPr="0001792F" w:rsidRDefault="00704704" w:rsidP="00DF048E">
            <w:pPr>
              <w:pStyle w:val="Default"/>
              <w:jc w:val="both"/>
              <w:rPr>
                <w:rFonts w:ascii="Arial Narrow" w:hAnsi="Arial Narrow"/>
                <w:sz w:val="22"/>
                <w:szCs w:val="22"/>
              </w:rPr>
            </w:pPr>
          </w:p>
        </w:tc>
      </w:tr>
      <w:tr w:rsidR="00704704" w:rsidRPr="0001792F" w:rsidTr="00DA21A3">
        <w:trPr>
          <w:trHeight w:val="300"/>
        </w:trPr>
        <w:tc>
          <w:tcPr>
            <w:tcW w:w="292" w:type="pct"/>
            <w:shd w:val="clear" w:color="auto" w:fill="auto"/>
            <w:noWrap/>
            <w:vAlign w:val="center"/>
            <w:hideMark/>
          </w:tcPr>
          <w:p w:rsidR="00704704" w:rsidRPr="0001792F" w:rsidRDefault="00704704" w:rsidP="00DF048E">
            <w:pPr>
              <w:jc w:val="center"/>
              <w:rPr>
                <w:rFonts w:cs="Arial"/>
                <w:color w:val="000000"/>
                <w:lang w:eastAsia="pt-BR"/>
              </w:rPr>
            </w:pPr>
            <w:r w:rsidRPr="0001792F">
              <w:rPr>
                <w:rFonts w:cs="Arial"/>
                <w:color w:val="000000"/>
                <w:lang w:eastAsia="pt-BR"/>
              </w:rPr>
              <w:t>6</w:t>
            </w:r>
          </w:p>
        </w:tc>
        <w:tc>
          <w:tcPr>
            <w:tcW w:w="425"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2</w:t>
            </w:r>
          </w:p>
        </w:tc>
        <w:tc>
          <w:tcPr>
            <w:tcW w:w="323" w:type="pct"/>
            <w:vAlign w:val="center"/>
          </w:tcPr>
          <w:p w:rsidR="00704704" w:rsidRPr="0001792F" w:rsidRDefault="00704704" w:rsidP="00DF048E">
            <w:pPr>
              <w:pStyle w:val="Corpodetexto"/>
              <w:jc w:val="center"/>
              <w:rPr>
                <w:rFonts w:ascii="Arial Narrow" w:hAnsi="Arial Narrow"/>
                <w:sz w:val="22"/>
                <w:szCs w:val="22"/>
                <w:lang w:eastAsia="pt-BR"/>
              </w:rPr>
            </w:pPr>
            <w:r w:rsidRPr="0001792F">
              <w:rPr>
                <w:rFonts w:ascii="Arial Narrow" w:hAnsi="Arial Narrow"/>
                <w:sz w:val="22"/>
                <w:szCs w:val="22"/>
                <w:lang w:eastAsia="pt-BR"/>
              </w:rPr>
              <w:t>Unid.</w:t>
            </w:r>
          </w:p>
        </w:tc>
        <w:tc>
          <w:tcPr>
            <w:tcW w:w="2474" w:type="pct"/>
            <w:shd w:val="clear" w:color="auto" w:fill="auto"/>
            <w:vAlign w:val="center"/>
          </w:tcPr>
          <w:p w:rsidR="00704704" w:rsidRPr="0001792F" w:rsidRDefault="00704704" w:rsidP="00DF048E">
            <w:pPr>
              <w:pStyle w:val="Default"/>
              <w:jc w:val="both"/>
              <w:rPr>
                <w:rFonts w:ascii="Arial Narrow" w:hAnsi="Arial Narrow"/>
                <w:sz w:val="22"/>
                <w:szCs w:val="22"/>
              </w:rPr>
            </w:pPr>
            <w:r w:rsidRPr="0001792F">
              <w:rPr>
                <w:rFonts w:ascii="Arial Narrow" w:hAnsi="Arial Narrow"/>
                <w:sz w:val="22"/>
                <w:szCs w:val="22"/>
              </w:rPr>
              <w:t xml:space="preserve">Conjunto para gastrostomia (semelhante ao MIC-KEY), Sonda Botton calibre 24 Fr, com comprimento de haste de acordo com a necessidade do paciente. Fabricado em silicone de grau médico com fita radiopaca integral e ponta atraumática. Possui balão de fixação interna com inflagem simétrica (3 a 5 ml), válvula de enchimento e sistema antirrefluxo superior. O design preza pelo conforto e discrição, contando com trava de segurança para conexão de extensores. O kit é completo, incluindo sonda extensora com pinça para bôlus e seringa de 35cc. Produto de alta performance para melhor aproveitamento da dieta, devendo seguir as orientações do relatório médico anexo. </w:t>
            </w:r>
          </w:p>
        </w:tc>
        <w:tc>
          <w:tcPr>
            <w:tcW w:w="435" w:type="pct"/>
          </w:tcPr>
          <w:p w:rsidR="00704704" w:rsidRPr="0001792F" w:rsidRDefault="00704704" w:rsidP="00DF048E">
            <w:pPr>
              <w:pStyle w:val="Default"/>
              <w:jc w:val="both"/>
              <w:rPr>
                <w:rFonts w:ascii="Arial Narrow" w:hAnsi="Arial Narrow"/>
                <w:sz w:val="22"/>
                <w:szCs w:val="22"/>
              </w:rPr>
            </w:pPr>
          </w:p>
        </w:tc>
        <w:tc>
          <w:tcPr>
            <w:tcW w:w="509" w:type="pct"/>
          </w:tcPr>
          <w:p w:rsidR="00704704" w:rsidRPr="0001792F" w:rsidRDefault="00704704" w:rsidP="00DF048E">
            <w:pPr>
              <w:pStyle w:val="Default"/>
              <w:jc w:val="both"/>
              <w:rPr>
                <w:rFonts w:ascii="Arial Narrow" w:hAnsi="Arial Narrow"/>
                <w:sz w:val="22"/>
                <w:szCs w:val="22"/>
              </w:rPr>
            </w:pPr>
          </w:p>
        </w:tc>
        <w:tc>
          <w:tcPr>
            <w:tcW w:w="542" w:type="pct"/>
          </w:tcPr>
          <w:p w:rsidR="00704704" w:rsidRPr="0001792F" w:rsidRDefault="00704704" w:rsidP="00DF048E">
            <w:pPr>
              <w:pStyle w:val="Default"/>
              <w:jc w:val="both"/>
              <w:rPr>
                <w:rFonts w:ascii="Arial Narrow" w:hAnsi="Arial Narrow"/>
                <w:sz w:val="22"/>
                <w:szCs w:val="22"/>
              </w:rPr>
            </w:pPr>
          </w:p>
        </w:tc>
      </w:tr>
    </w:tbl>
    <w:p w:rsidR="002B37CE" w:rsidRDefault="002B37CE" w:rsidP="002B37CE"/>
    <w:p w:rsidR="006B3E85" w:rsidRDefault="00256794" w:rsidP="00DA21A3">
      <w:pPr>
        <w:ind w:left="142"/>
        <w:jc w:val="center"/>
        <w:rPr>
          <w:u w:val="single"/>
        </w:rPr>
      </w:pPr>
      <w:r w:rsidRPr="00A87255">
        <w:rPr>
          <w:u w:val="single"/>
        </w:rPr>
        <w:t>DECLARAÇÃO</w:t>
      </w:r>
    </w:p>
    <w:p w:rsidR="00DA21A3" w:rsidRDefault="00DA21A3" w:rsidP="00DA21A3">
      <w:pPr>
        <w:ind w:left="142"/>
        <w:jc w:val="center"/>
        <w:rPr>
          <w:u w:val="single"/>
        </w:rPr>
      </w:pPr>
    </w:p>
    <w:p w:rsidR="00DA5711" w:rsidRDefault="00105AD6" w:rsidP="00DA21A3">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DA5711" w:rsidRDefault="00105AD6" w:rsidP="00DA21A3">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A80185" w:rsidRDefault="00A80185" w:rsidP="00A80185">
      <w:pPr>
        <w:ind w:left="612"/>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DA21A3">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DA21A3">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DA21A3">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DA21A3">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DA21A3">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DA21A3">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DA21A3">
        <w:trPr>
          <w:trHeight w:val="20"/>
          <w:jc w:val="center"/>
        </w:trPr>
        <w:tc>
          <w:tcPr>
            <w:tcW w:w="9563" w:type="dxa"/>
            <w:gridSpan w:val="2"/>
          </w:tcPr>
          <w:p w:rsidR="00256794" w:rsidRPr="00A87255" w:rsidRDefault="00256794" w:rsidP="00960E9B">
            <w:r w:rsidRPr="00A87255">
              <w:t>Local e Data:</w:t>
            </w:r>
          </w:p>
        </w:tc>
      </w:tr>
      <w:tr w:rsidR="00256794" w:rsidRPr="00A87255" w:rsidTr="00DA21A3">
        <w:trPr>
          <w:trHeight w:val="20"/>
          <w:jc w:val="center"/>
        </w:trPr>
        <w:tc>
          <w:tcPr>
            <w:tcW w:w="9563" w:type="dxa"/>
            <w:gridSpan w:val="2"/>
          </w:tcPr>
          <w:p w:rsidR="00256794" w:rsidRPr="00A87255" w:rsidRDefault="00256794" w:rsidP="00960E9B">
            <w:r w:rsidRPr="00A87255">
              <w:t>Assinatura:</w:t>
            </w:r>
          </w:p>
        </w:tc>
      </w:tr>
    </w:tbl>
    <w:p w:rsidR="006B3E85" w:rsidRDefault="006B3E85"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3C537D"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48E" w:rsidRDefault="00DF048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F048E" w:rsidRDefault="00DF048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AC360C">
        <w:t>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C537D"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2BE9"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8B8E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DF048E">
        <w:t>23/2026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C537D"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6E713"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1"/>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C537D"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7223"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2"/>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AC360C">
        <w:t>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3C537D" w:rsidP="00C40613">
      <w:pPr>
        <w:spacing w:before="1"/>
        <w:rPr>
          <w:sz w:val="20"/>
        </w:rPr>
      </w:pPr>
      <w:r>
        <w:rPr>
          <w:noProof/>
          <w:lang w:val="pt-BR" w:eastAsia="pt-BR" w:bidi="ar-SA"/>
        </w:rPr>
        <mc:AlternateContent>
          <mc:Choice Requires="wps">
            <w:drawing>
              <wp:anchor distT="4294967291" distB="4294967291"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95A5"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3C537D">
      <w:pPr>
        <w:rPr>
          <w:b/>
        </w:rPr>
      </w:pPr>
      <w:bookmarkStart w:id="0" w:name="_GoBack"/>
      <w:bookmarkEnd w:id="0"/>
    </w:p>
    <w:sectPr w:rsidR="00580D66" w:rsidRPr="00A87255" w:rsidSect="00594FB5">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030" w:rsidRDefault="00C42030">
      <w:r>
        <w:separator/>
      </w:r>
    </w:p>
  </w:endnote>
  <w:endnote w:type="continuationSeparator" w:id="0">
    <w:p w:rsidR="00C42030" w:rsidRDefault="00C4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8E" w:rsidRDefault="00DF048E" w:rsidP="00844BA8">
    <w:pPr>
      <w:pStyle w:val="Rodap"/>
      <w:tabs>
        <w:tab w:val="left" w:pos="5400"/>
        <w:tab w:val="right" w:pos="9642"/>
      </w:tabs>
      <w:jc w:val="right"/>
    </w:pPr>
    <w:r>
      <w:tab/>
    </w:r>
  </w:p>
  <w:p w:rsidR="00DF048E" w:rsidRDefault="00DF04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030" w:rsidRDefault="00C42030">
      <w:r>
        <w:separator/>
      </w:r>
    </w:p>
  </w:footnote>
  <w:footnote w:type="continuationSeparator" w:id="0">
    <w:p w:rsidR="00C42030" w:rsidRDefault="00C42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8E" w:rsidRDefault="00DF048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8E" w:rsidRDefault="003C537D">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48E" w:rsidRDefault="00DF048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F048E" w:rsidRDefault="00DF048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8E" w:rsidRDefault="00DF048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8E" w:rsidRDefault="00DF048E">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8E" w:rsidRDefault="00DF048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8AE369E"/>
    <w:multiLevelType w:val="hybridMultilevel"/>
    <w:tmpl w:val="EF2C1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170B43"/>
    <w:multiLevelType w:val="hybridMultilevel"/>
    <w:tmpl w:val="A32EA8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21C954A1"/>
    <w:multiLevelType w:val="hybridMultilevel"/>
    <w:tmpl w:val="E432E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2">
    <w:nsid w:val="2C4E557D"/>
    <w:multiLevelType w:val="hybridMultilevel"/>
    <w:tmpl w:val="CD943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F5A44D4"/>
    <w:multiLevelType w:val="hybridMultilevel"/>
    <w:tmpl w:val="BDAE77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8BE01CE"/>
    <w:multiLevelType w:val="hybridMultilevel"/>
    <w:tmpl w:val="590EC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454D53A2"/>
    <w:multiLevelType w:val="hybridMultilevel"/>
    <w:tmpl w:val="D0587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E751E19"/>
    <w:multiLevelType w:val="hybridMultilevel"/>
    <w:tmpl w:val="319EC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63E612C"/>
    <w:multiLevelType w:val="hybridMultilevel"/>
    <w:tmpl w:val="F58ED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3">
    <w:nsid w:val="65705666"/>
    <w:multiLevelType w:val="hybridMultilevel"/>
    <w:tmpl w:val="BC024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66E5839"/>
    <w:multiLevelType w:val="hybridMultilevel"/>
    <w:tmpl w:val="3A648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nsid w:val="696647DA"/>
    <w:multiLevelType w:val="hybridMultilevel"/>
    <w:tmpl w:val="B1A80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F310740"/>
    <w:multiLevelType w:val="hybridMultilevel"/>
    <w:tmpl w:val="A0D0E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9">
    <w:nsid w:val="7D766662"/>
    <w:multiLevelType w:val="hybridMultilevel"/>
    <w:tmpl w:val="11FE7B5E"/>
    <w:lvl w:ilvl="0" w:tplc="AFFE2272">
      <w:start w:val="1"/>
      <w:numFmt w:val="lowerLetter"/>
      <w:lvlText w:val="%1)"/>
      <w:lvlJc w:val="left"/>
      <w:pPr>
        <w:ind w:left="2912" w:hanging="360"/>
      </w:pPr>
      <w:rPr>
        <w:rFonts w:hint="default"/>
      </w:rPr>
    </w:lvl>
    <w:lvl w:ilvl="1" w:tplc="04160019">
      <w:start w:val="1"/>
      <w:numFmt w:val="lowerLetter"/>
      <w:lvlText w:val="%2."/>
      <w:lvlJc w:val="left"/>
      <w:pPr>
        <w:ind w:left="3632" w:hanging="360"/>
      </w:pPr>
    </w:lvl>
    <w:lvl w:ilvl="2" w:tplc="6826F0B8">
      <w:numFmt w:val="bullet"/>
      <w:lvlText w:val="·"/>
      <w:lvlJc w:val="left"/>
      <w:pPr>
        <w:ind w:left="4532" w:hanging="360"/>
      </w:pPr>
      <w:rPr>
        <w:rFonts w:ascii="Arial Narrow" w:eastAsiaTheme="minorHAnsi" w:hAnsi="Arial Narrow" w:cs="Symbol" w:hint="default"/>
      </w:r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22"/>
  </w:num>
  <w:num w:numId="2">
    <w:abstractNumId w:val="5"/>
  </w:num>
  <w:num w:numId="3">
    <w:abstractNumId w:val="8"/>
  </w:num>
  <w:num w:numId="4">
    <w:abstractNumId w:val="16"/>
  </w:num>
  <w:num w:numId="5">
    <w:abstractNumId w:val="2"/>
  </w:num>
  <w:num w:numId="6">
    <w:abstractNumId w:val="11"/>
  </w:num>
  <w:num w:numId="7">
    <w:abstractNumId w:val="4"/>
  </w:num>
  <w:num w:numId="8">
    <w:abstractNumId w:val="25"/>
  </w:num>
  <w:num w:numId="9">
    <w:abstractNumId w:val="7"/>
  </w:num>
  <w:num w:numId="10">
    <w:abstractNumId w:val="15"/>
  </w:num>
  <w:num w:numId="11">
    <w:abstractNumId w:val="17"/>
  </w:num>
  <w:num w:numId="12">
    <w:abstractNumId w:val="28"/>
  </w:num>
  <w:num w:numId="13">
    <w:abstractNumId w:val="29"/>
  </w:num>
  <w:num w:numId="14">
    <w:abstractNumId w:val="21"/>
  </w:num>
  <w:num w:numId="15">
    <w:abstractNumId w:val="27"/>
  </w:num>
  <w:num w:numId="16">
    <w:abstractNumId w:val="14"/>
  </w:num>
  <w:num w:numId="17">
    <w:abstractNumId w:val="26"/>
  </w:num>
  <w:num w:numId="18">
    <w:abstractNumId w:val="13"/>
  </w:num>
  <w:num w:numId="19">
    <w:abstractNumId w:val="3"/>
  </w:num>
  <w:num w:numId="20">
    <w:abstractNumId w:val="24"/>
  </w:num>
  <w:num w:numId="21">
    <w:abstractNumId w:val="18"/>
  </w:num>
  <w:num w:numId="22">
    <w:abstractNumId w:val="19"/>
  </w:num>
  <w:num w:numId="23">
    <w:abstractNumId w:val="9"/>
  </w:num>
  <w:num w:numId="24">
    <w:abstractNumId w:val="12"/>
  </w:num>
  <w:num w:numId="25">
    <w:abstractNumId w:val="23"/>
  </w:num>
  <w:num w:numId="26">
    <w:abstractNumId w:val="20"/>
  </w:num>
  <w:num w:numId="27">
    <w:abstractNumId w:val="1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77D"/>
    <w:rsid w:val="00000886"/>
    <w:rsid w:val="00005C9F"/>
    <w:rsid w:val="00007096"/>
    <w:rsid w:val="00010AB8"/>
    <w:rsid w:val="00013B0F"/>
    <w:rsid w:val="00016C61"/>
    <w:rsid w:val="000170DF"/>
    <w:rsid w:val="0001792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0A34"/>
    <w:rsid w:val="00075C8C"/>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390C"/>
    <w:rsid w:val="000B6398"/>
    <w:rsid w:val="000B7ED7"/>
    <w:rsid w:val="000C026A"/>
    <w:rsid w:val="000C05C6"/>
    <w:rsid w:val="000C0DA3"/>
    <w:rsid w:val="000E0296"/>
    <w:rsid w:val="000E2217"/>
    <w:rsid w:val="000E439F"/>
    <w:rsid w:val="000E7476"/>
    <w:rsid w:val="000F12A6"/>
    <w:rsid w:val="000F5E8A"/>
    <w:rsid w:val="000F69A0"/>
    <w:rsid w:val="00100D4C"/>
    <w:rsid w:val="00103325"/>
    <w:rsid w:val="00103E68"/>
    <w:rsid w:val="00105AD6"/>
    <w:rsid w:val="00110044"/>
    <w:rsid w:val="00112B62"/>
    <w:rsid w:val="0011565C"/>
    <w:rsid w:val="00116D20"/>
    <w:rsid w:val="00117217"/>
    <w:rsid w:val="00117BEE"/>
    <w:rsid w:val="001206D1"/>
    <w:rsid w:val="00120C67"/>
    <w:rsid w:val="0013050D"/>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C76"/>
    <w:rsid w:val="00187D66"/>
    <w:rsid w:val="001929A1"/>
    <w:rsid w:val="00194A6E"/>
    <w:rsid w:val="001A5280"/>
    <w:rsid w:val="001A53DD"/>
    <w:rsid w:val="001A53F4"/>
    <w:rsid w:val="001A6C7B"/>
    <w:rsid w:val="001A7F40"/>
    <w:rsid w:val="001B02C0"/>
    <w:rsid w:val="001B05B4"/>
    <w:rsid w:val="001B0EB8"/>
    <w:rsid w:val="001B6271"/>
    <w:rsid w:val="001C0D59"/>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41A6"/>
    <w:rsid w:val="00205794"/>
    <w:rsid w:val="00212B89"/>
    <w:rsid w:val="00223B6A"/>
    <w:rsid w:val="0022436A"/>
    <w:rsid w:val="00230C90"/>
    <w:rsid w:val="00233E57"/>
    <w:rsid w:val="002345BE"/>
    <w:rsid w:val="00235176"/>
    <w:rsid w:val="00235971"/>
    <w:rsid w:val="00235E24"/>
    <w:rsid w:val="0023642F"/>
    <w:rsid w:val="00237D0C"/>
    <w:rsid w:val="0024588E"/>
    <w:rsid w:val="002462D3"/>
    <w:rsid w:val="002474C2"/>
    <w:rsid w:val="00252153"/>
    <w:rsid w:val="00252B15"/>
    <w:rsid w:val="00253715"/>
    <w:rsid w:val="00256794"/>
    <w:rsid w:val="00262DCE"/>
    <w:rsid w:val="00263FFA"/>
    <w:rsid w:val="00264EC0"/>
    <w:rsid w:val="00277F7B"/>
    <w:rsid w:val="002800BC"/>
    <w:rsid w:val="00281EF6"/>
    <w:rsid w:val="00283024"/>
    <w:rsid w:val="002836A2"/>
    <w:rsid w:val="00284A77"/>
    <w:rsid w:val="00285D9D"/>
    <w:rsid w:val="0028748A"/>
    <w:rsid w:val="0029198F"/>
    <w:rsid w:val="002938BB"/>
    <w:rsid w:val="0029562E"/>
    <w:rsid w:val="00295630"/>
    <w:rsid w:val="00296040"/>
    <w:rsid w:val="002964F1"/>
    <w:rsid w:val="002971E2"/>
    <w:rsid w:val="002A0A58"/>
    <w:rsid w:val="002A3790"/>
    <w:rsid w:val="002A5E4A"/>
    <w:rsid w:val="002A766F"/>
    <w:rsid w:val="002B1305"/>
    <w:rsid w:val="002B21C1"/>
    <w:rsid w:val="002B37CE"/>
    <w:rsid w:val="002B586B"/>
    <w:rsid w:val="002C173B"/>
    <w:rsid w:val="002C32D2"/>
    <w:rsid w:val="002C4950"/>
    <w:rsid w:val="002C4D93"/>
    <w:rsid w:val="002C5F8A"/>
    <w:rsid w:val="002C6DBF"/>
    <w:rsid w:val="002D2774"/>
    <w:rsid w:val="002F324D"/>
    <w:rsid w:val="002F587C"/>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45FC3"/>
    <w:rsid w:val="003510DE"/>
    <w:rsid w:val="00353E87"/>
    <w:rsid w:val="0035412C"/>
    <w:rsid w:val="00355519"/>
    <w:rsid w:val="00356228"/>
    <w:rsid w:val="00356DFD"/>
    <w:rsid w:val="00357089"/>
    <w:rsid w:val="00357D36"/>
    <w:rsid w:val="00360ACF"/>
    <w:rsid w:val="00361CBD"/>
    <w:rsid w:val="00367777"/>
    <w:rsid w:val="003705C7"/>
    <w:rsid w:val="00370626"/>
    <w:rsid w:val="00373D4C"/>
    <w:rsid w:val="00374E21"/>
    <w:rsid w:val="00377020"/>
    <w:rsid w:val="00383DDC"/>
    <w:rsid w:val="00385D57"/>
    <w:rsid w:val="00385EC8"/>
    <w:rsid w:val="003933B5"/>
    <w:rsid w:val="003A3910"/>
    <w:rsid w:val="003A3AA2"/>
    <w:rsid w:val="003A5F1B"/>
    <w:rsid w:val="003A683A"/>
    <w:rsid w:val="003A6E0D"/>
    <w:rsid w:val="003B0607"/>
    <w:rsid w:val="003B1D57"/>
    <w:rsid w:val="003C325F"/>
    <w:rsid w:val="003C45B7"/>
    <w:rsid w:val="003C537D"/>
    <w:rsid w:val="003C5F1E"/>
    <w:rsid w:val="003D1EC6"/>
    <w:rsid w:val="003D2633"/>
    <w:rsid w:val="003D2B75"/>
    <w:rsid w:val="003D420E"/>
    <w:rsid w:val="003D6DA8"/>
    <w:rsid w:val="003E089E"/>
    <w:rsid w:val="003E1E8C"/>
    <w:rsid w:val="003E24CD"/>
    <w:rsid w:val="003E3B0E"/>
    <w:rsid w:val="003E537C"/>
    <w:rsid w:val="003F0987"/>
    <w:rsid w:val="003F0D91"/>
    <w:rsid w:val="00402FD4"/>
    <w:rsid w:val="00412210"/>
    <w:rsid w:val="00412F8E"/>
    <w:rsid w:val="0041737C"/>
    <w:rsid w:val="004179CF"/>
    <w:rsid w:val="00423C05"/>
    <w:rsid w:val="004249B3"/>
    <w:rsid w:val="00430064"/>
    <w:rsid w:val="00430A6F"/>
    <w:rsid w:val="0043121C"/>
    <w:rsid w:val="004446B6"/>
    <w:rsid w:val="00446737"/>
    <w:rsid w:val="00446BBC"/>
    <w:rsid w:val="004500B2"/>
    <w:rsid w:val="00453C40"/>
    <w:rsid w:val="00456E7D"/>
    <w:rsid w:val="00460972"/>
    <w:rsid w:val="004629C4"/>
    <w:rsid w:val="00463947"/>
    <w:rsid w:val="00465C6F"/>
    <w:rsid w:val="00466800"/>
    <w:rsid w:val="00470493"/>
    <w:rsid w:val="00470B4B"/>
    <w:rsid w:val="00470D7C"/>
    <w:rsid w:val="00473B9B"/>
    <w:rsid w:val="00473DDC"/>
    <w:rsid w:val="00480FF3"/>
    <w:rsid w:val="004853B3"/>
    <w:rsid w:val="004863B2"/>
    <w:rsid w:val="00486C9B"/>
    <w:rsid w:val="00486E81"/>
    <w:rsid w:val="00491D33"/>
    <w:rsid w:val="00492758"/>
    <w:rsid w:val="00493930"/>
    <w:rsid w:val="0049623F"/>
    <w:rsid w:val="00496B8A"/>
    <w:rsid w:val="00496CB0"/>
    <w:rsid w:val="00497516"/>
    <w:rsid w:val="004A0098"/>
    <w:rsid w:val="004A08FB"/>
    <w:rsid w:val="004A1405"/>
    <w:rsid w:val="004A1B64"/>
    <w:rsid w:val="004A3E82"/>
    <w:rsid w:val="004A4BD3"/>
    <w:rsid w:val="004B1170"/>
    <w:rsid w:val="004C18E5"/>
    <w:rsid w:val="004C46F0"/>
    <w:rsid w:val="004C4955"/>
    <w:rsid w:val="004C765B"/>
    <w:rsid w:val="004D042D"/>
    <w:rsid w:val="004D7C88"/>
    <w:rsid w:val="004E011F"/>
    <w:rsid w:val="004E368A"/>
    <w:rsid w:val="004E3B92"/>
    <w:rsid w:val="004E460F"/>
    <w:rsid w:val="004F0B2E"/>
    <w:rsid w:val="004F2A20"/>
    <w:rsid w:val="004F315F"/>
    <w:rsid w:val="004F3F84"/>
    <w:rsid w:val="004F4E52"/>
    <w:rsid w:val="004F5783"/>
    <w:rsid w:val="004F6D36"/>
    <w:rsid w:val="00507B87"/>
    <w:rsid w:val="00507D7F"/>
    <w:rsid w:val="00507E34"/>
    <w:rsid w:val="0051196C"/>
    <w:rsid w:val="00513B4B"/>
    <w:rsid w:val="005145DD"/>
    <w:rsid w:val="00522D4A"/>
    <w:rsid w:val="0052335F"/>
    <w:rsid w:val="00525DF5"/>
    <w:rsid w:val="005263FF"/>
    <w:rsid w:val="005264C0"/>
    <w:rsid w:val="00535DE3"/>
    <w:rsid w:val="005362FC"/>
    <w:rsid w:val="00540F98"/>
    <w:rsid w:val="0054376B"/>
    <w:rsid w:val="005442D3"/>
    <w:rsid w:val="005464A5"/>
    <w:rsid w:val="00552552"/>
    <w:rsid w:val="0055259E"/>
    <w:rsid w:val="00552D6F"/>
    <w:rsid w:val="00555001"/>
    <w:rsid w:val="00556C0B"/>
    <w:rsid w:val="00557072"/>
    <w:rsid w:val="00557B53"/>
    <w:rsid w:val="005611EE"/>
    <w:rsid w:val="005634B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28D1"/>
    <w:rsid w:val="005A4255"/>
    <w:rsid w:val="005A5C2E"/>
    <w:rsid w:val="005A784C"/>
    <w:rsid w:val="005A79EE"/>
    <w:rsid w:val="005B171B"/>
    <w:rsid w:val="005B1C0A"/>
    <w:rsid w:val="005B6BAF"/>
    <w:rsid w:val="005C1EA7"/>
    <w:rsid w:val="005C1F18"/>
    <w:rsid w:val="005C3981"/>
    <w:rsid w:val="005C6476"/>
    <w:rsid w:val="005D0B45"/>
    <w:rsid w:val="005D1C0F"/>
    <w:rsid w:val="005D1EBF"/>
    <w:rsid w:val="005D3005"/>
    <w:rsid w:val="005D4B9A"/>
    <w:rsid w:val="005D4EC1"/>
    <w:rsid w:val="005E3B4D"/>
    <w:rsid w:val="005E5AFC"/>
    <w:rsid w:val="005F1404"/>
    <w:rsid w:val="005F7550"/>
    <w:rsid w:val="005F7A2F"/>
    <w:rsid w:val="006011F0"/>
    <w:rsid w:val="006034D6"/>
    <w:rsid w:val="0060382E"/>
    <w:rsid w:val="00614210"/>
    <w:rsid w:val="00621A45"/>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1695"/>
    <w:rsid w:val="006723B2"/>
    <w:rsid w:val="00672F44"/>
    <w:rsid w:val="006744B8"/>
    <w:rsid w:val="0067597D"/>
    <w:rsid w:val="0068005D"/>
    <w:rsid w:val="00680846"/>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3E85"/>
    <w:rsid w:val="006B48B0"/>
    <w:rsid w:val="006B6D40"/>
    <w:rsid w:val="006C0108"/>
    <w:rsid w:val="006C101F"/>
    <w:rsid w:val="006C1267"/>
    <w:rsid w:val="006C17C8"/>
    <w:rsid w:val="006C1C03"/>
    <w:rsid w:val="006C1EF1"/>
    <w:rsid w:val="006C3493"/>
    <w:rsid w:val="006C54D6"/>
    <w:rsid w:val="006C76CB"/>
    <w:rsid w:val="006D185C"/>
    <w:rsid w:val="006D199E"/>
    <w:rsid w:val="006D23EB"/>
    <w:rsid w:val="006E0D85"/>
    <w:rsid w:val="006E2040"/>
    <w:rsid w:val="006E396F"/>
    <w:rsid w:val="006E4934"/>
    <w:rsid w:val="006E4BE8"/>
    <w:rsid w:val="006E5872"/>
    <w:rsid w:val="006E6926"/>
    <w:rsid w:val="006F1050"/>
    <w:rsid w:val="006F164A"/>
    <w:rsid w:val="006F2400"/>
    <w:rsid w:val="006F6855"/>
    <w:rsid w:val="00700C9B"/>
    <w:rsid w:val="00704704"/>
    <w:rsid w:val="007057E5"/>
    <w:rsid w:val="00707DEF"/>
    <w:rsid w:val="00711C5F"/>
    <w:rsid w:val="00712C9C"/>
    <w:rsid w:val="00715602"/>
    <w:rsid w:val="00715B83"/>
    <w:rsid w:val="00717362"/>
    <w:rsid w:val="00720410"/>
    <w:rsid w:val="00725811"/>
    <w:rsid w:val="007267EA"/>
    <w:rsid w:val="007267EE"/>
    <w:rsid w:val="00733D25"/>
    <w:rsid w:val="00740A6A"/>
    <w:rsid w:val="00741DC4"/>
    <w:rsid w:val="007423F5"/>
    <w:rsid w:val="0074443B"/>
    <w:rsid w:val="00745358"/>
    <w:rsid w:val="0074558F"/>
    <w:rsid w:val="00745B20"/>
    <w:rsid w:val="00747695"/>
    <w:rsid w:val="00752495"/>
    <w:rsid w:val="00752B2F"/>
    <w:rsid w:val="00753695"/>
    <w:rsid w:val="00762028"/>
    <w:rsid w:val="00764870"/>
    <w:rsid w:val="007679EE"/>
    <w:rsid w:val="00770034"/>
    <w:rsid w:val="007704C5"/>
    <w:rsid w:val="007721FA"/>
    <w:rsid w:val="00772540"/>
    <w:rsid w:val="00774C3D"/>
    <w:rsid w:val="00780F6F"/>
    <w:rsid w:val="00781ABB"/>
    <w:rsid w:val="007867C7"/>
    <w:rsid w:val="0079090A"/>
    <w:rsid w:val="007926BD"/>
    <w:rsid w:val="00794185"/>
    <w:rsid w:val="00796577"/>
    <w:rsid w:val="007976B1"/>
    <w:rsid w:val="007A3457"/>
    <w:rsid w:val="007A3809"/>
    <w:rsid w:val="007A3A0F"/>
    <w:rsid w:val="007A6DD0"/>
    <w:rsid w:val="007B02D6"/>
    <w:rsid w:val="007B1C06"/>
    <w:rsid w:val="007B1E7E"/>
    <w:rsid w:val="007B53F1"/>
    <w:rsid w:val="007B5798"/>
    <w:rsid w:val="007B7D40"/>
    <w:rsid w:val="007C4664"/>
    <w:rsid w:val="007C79DF"/>
    <w:rsid w:val="007D07DF"/>
    <w:rsid w:val="007D0A05"/>
    <w:rsid w:val="007D1171"/>
    <w:rsid w:val="007D156C"/>
    <w:rsid w:val="007D1ABE"/>
    <w:rsid w:val="007D210E"/>
    <w:rsid w:val="007D2B29"/>
    <w:rsid w:val="007D35FA"/>
    <w:rsid w:val="007D6380"/>
    <w:rsid w:val="007D755B"/>
    <w:rsid w:val="007E23E1"/>
    <w:rsid w:val="007E4268"/>
    <w:rsid w:val="007F3302"/>
    <w:rsid w:val="007F4E0E"/>
    <w:rsid w:val="007F680E"/>
    <w:rsid w:val="007F6B75"/>
    <w:rsid w:val="0080310C"/>
    <w:rsid w:val="00803896"/>
    <w:rsid w:val="008046F1"/>
    <w:rsid w:val="008052DA"/>
    <w:rsid w:val="00807913"/>
    <w:rsid w:val="00807A52"/>
    <w:rsid w:val="00807BFA"/>
    <w:rsid w:val="00810EC5"/>
    <w:rsid w:val="008120AD"/>
    <w:rsid w:val="00814738"/>
    <w:rsid w:val="00815E3A"/>
    <w:rsid w:val="00817A83"/>
    <w:rsid w:val="008210E5"/>
    <w:rsid w:val="0082279B"/>
    <w:rsid w:val="008228FA"/>
    <w:rsid w:val="0082724B"/>
    <w:rsid w:val="008303FB"/>
    <w:rsid w:val="008357D1"/>
    <w:rsid w:val="0084056D"/>
    <w:rsid w:val="008429AB"/>
    <w:rsid w:val="00844BA8"/>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A46A9"/>
    <w:rsid w:val="008A4CFE"/>
    <w:rsid w:val="008B4292"/>
    <w:rsid w:val="008B4818"/>
    <w:rsid w:val="008C094C"/>
    <w:rsid w:val="008C4C03"/>
    <w:rsid w:val="008D0067"/>
    <w:rsid w:val="008D1338"/>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47206"/>
    <w:rsid w:val="00954FF6"/>
    <w:rsid w:val="009558D2"/>
    <w:rsid w:val="00955BAF"/>
    <w:rsid w:val="0095677D"/>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C4CE8"/>
    <w:rsid w:val="009C698A"/>
    <w:rsid w:val="009C7DF1"/>
    <w:rsid w:val="009D26C9"/>
    <w:rsid w:val="009D6987"/>
    <w:rsid w:val="009E0801"/>
    <w:rsid w:val="009E0DA3"/>
    <w:rsid w:val="009E10CF"/>
    <w:rsid w:val="009E15F4"/>
    <w:rsid w:val="009E389A"/>
    <w:rsid w:val="009E4A41"/>
    <w:rsid w:val="009E6987"/>
    <w:rsid w:val="009E7968"/>
    <w:rsid w:val="009F0FC5"/>
    <w:rsid w:val="009F2C55"/>
    <w:rsid w:val="009F608B"/>
    <w:rsid w:val="00A01C25"/>
    <w:rsid w:val="00A0202D"/>
    <w:rsid w:val="00A0353A"/>
    <w:rsid w:val="00A03565"/>
    <w:rsid w:val="00A05525"/>
    <w:rsid w:val="00A06ACB"/>
    <w:rsid w:val="00A06D2C"/>
    <w:rsid w:val="00A0740F"/>
    <w:rsid w:val="00A07C51"/>
    <w:rsid w:val="00A122F0"/>
    <w:rsid w:val="00A14FC5"/>
    <w:rsid w:val="00A165C6"/>
    <w:rsid w:val="00A16E81"/>
    <w:rsid w:val="00A17874"/>
    <w:rsid w:val="00A200B1"/>
    <w:rsid w:val="00A20A51"/>
    <w:rsid w:val="00A250B6"/>
    <w:rsid w:val="00A26134"/>
    <w:rsid w:val="00A3004D"/>
    <w:rsid w:val="00A30A58"/>
    <w:rsid w:val="00A30BBF"/>
    <w:rsid w:val="00A316BF"/>
    <w:rsid w:val="00A345E4"/>
    <w:rsid w:val="00A3661D"/>
    <w:rsid w:val="00A42B25"/>
    <w:rsid w:val="00A5052E"/>
    <w:rsid w:val="00A50C5A"/>
    <w:rsid w:val="00A50EF2"/>
    <w:rsid w:val="00A607BE"/>
    <w:rsid w:val="00A614F2"/>
    <w:rsid w:val="00A620CD"/>
    <w:rsid w:val="00A62AD0"/>
    <w:rsid w:val="00A643C1"/>
    <w:rsid w:val="00A67A0C"/>
    <w:rsid w:val="00A67C7F"/>
    <w:rsid w:val="00A71AE4"/>
    <w:rsid w:val="00A753C8"/>
    <w:rsid w:val="00A77DB8"/>
    <w:rsid w:val="00A80185"/>
    <w:rsid w:val="00A86544"/>
    <w:rsid w:val="00A87255"/>
    <w:rsid w:val="00A87343"/>
    <w:rsid w:val="00A90151"/>
    <w:rsid w:val="00A90F9C"/>
    <w:rsid w:val="00A94221"/>
    <w:rsid w:val="00A95B7B"/>
    <w:rsid w:val="00A9602F"/>
    <w:rsid w:val="00AA00F2"/>
    <w:rsid w:val="00AA2BAB"/>
    <w:rsid w:val="00AA73A9"/>
    <w:rsid w:val="00AB385F"/>
    <w:rsid w:val="00AB475C"/>
    <w:rsid w:val="00AB5954"/>
    <w:rsid w:val="00AB6DA5"/>
    <w:rsid w:val="00AC317E"/>
    <w:rsid w:val="00AC360C"/>
    <w:rsid w:val="00AC54B2"/>
    <w:rsid w:val="00AC5EE7"/>
    <w:rsid w:val="00AC742C"/>
    <w:rsid w:val="00AD2E9E"/>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06A5"/>
    <w:rsid w:val="00B51B16"/>
    <w:rsid w:val="00B52DE5"/>
    <w:rsid w:val="00B56BA7"/>
    <w:rsid w:val="00B66608"/>
    <w:rsid w:val="00B67047"/>
    <w:rsid w:val="00B672FF"/>
    <w:rsid w:val="00B67B2C"/>
    <w:rsid w:val="00B70FB8"/>
    <w:rsid w:val="00B7572D"/>
    <w:rsid w:val="00B82EE8"/>
    <w:rsid w:val="00B91420"/>
    <w:rsid w:val="00B93184"/>
    <w:rsid w:val="00B96058"/>
    <w:rsid w:val="00B973E0"/>
    <w:rsid w:val="00B9758F"/>
    <w:rsid w:val="00BA174C"/>
    <w:rsid w:val="00BA25BD"/>
    <w:rsid w:val="00BA303C"/>
    <w:rsid w:val="00BA476C"/>
    <w:rsid w:val="00BB3981"/>
    <w:rsid w:val="00BB48D3"/>
    <w:rsid w:val="00BB5645"/>
    <w:rsid w:val="00BB630C"/>
    <w:rsid w:val="00BC0672"/>
    <w:rsid w:val="00BC0930"/>
    <w:rsid w:val="00BC27EA"/>
    <w:rsid w:val="00BC3EC2"/>
    <w:rsid w:val="00BC4096"/>
    <w:rsid w:val="00BC4E4C"/>
    <w:rsid w:val="00BC7C6D"/>
    <w:rsid w:val="00BD15E7"/>
    <w:rsid w:val="00BD4836"/>
    <w:rsid w:val="00BD4B67"/>
    <w:rsid w:val="00BE092A"/>
    <w:rsid w:val="00BE21B9"/>
    <w:rsid w:val="00BE3841"/>
    <w:rsid w:val="00BE3A23"/>
    <w:rsid w:val="00BE7EB9"/>
    <w:rsid w:val="00BF03F3"/>
    <w:rsid w:val="00BF1317"/>
    <w:rsid w:val="00BF589F"/>
    <w:rsid w:val="00BF5F85"/>
    <w:rsid w:val="00BF6B46"/>
    <w:rsid w:val="00BF6F3B"/>
    <w:rsid w:val="00BF7C52"/>
    <w:rsid w:val="00C00E78"/>
    <w:rsid w:val="00C03D52"/>
    <w:rsid w:val="00C048E5"/>
    <w:rsid w:val="00C06A9F"/>
    <w:rsid w:val="00C07B96"/>
    <w:rsid w:val="00C1350B"/>
    <w:rsid w:val="00C141B5"/>
    <w:rsid w:val="00C15446"/>
    <w:rsid w:val="00C156C0"/>
    <w:rsid w:val="00C2190F"/>
    <w:rsid w:val="00C266F8"/>
    <w:rsid w:val="00C276FB"/>
    <w:rsid w:val="00C279D9"/>
    <w:rsid w:val="00C30A21"/>
    <w:rsid w:val="00C31A24"/>
    <w:rsid w:val="00C31D1E"/>
    <w:rsid w:val="00C34000"/>
    <w:rsid w:val="00C34E72"/>
    <w:rsid w:val="00C35267"/>
    <w:rsid w:val="00C364A2"/>
    <w:rsid w:val="00C36AB1"/>
    <w:rsid w:val="00C37B57"/>
    <w:rsid w:val="00C40613"/>
    <w:rsid w:val="00C42030"/>
    <w:rsid w:val="00C460DA"/>
    <w:rsid w:val="00C4732D"/>
    <w:rsid w:val="00C47FD3"/>
    <w:rsid w:val="00C53C8C"/>
    <w:rsid w:val="00C54A8A"/>
    <w:rsid w:val="00C56069"/>
    <w:rsid w:val="00C560B0"/>
    <w:rsid w:val="00C615D7"/>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A7CAD"/>
    <w:rsid w:val="00CB02DC"/>
    <w:rsid w:val="00CB0D6F"/>
    <w:rsid w:val="00CB1A43"/>
    <w:rsid w:val="00CB214A"/>
    <w:rsid w:val="00CB399F"/>
    <w:rsid w:val="00CB457D"/>
    <w:rsid w:val="00CB5827"/>
    <w:rsid w:val="00CC3189"/>
    <w:rsid w:val="00CC3747"/>
    <w:rsid w:val="00CD28DB"/>
    <w:rsid w:val="00CD4AD7"/>
    <w:rsid w:val="00CD6A70"/>
    <w:rsid w:val="00CE19C8"/>
    <w:rsid w:val="00CE70E2"/>
    <w:rsid w:val="00CF2202"/>
    <w:rsid w:val="00CF2940"/>
    <w:rsid w:val="00CF3239"/>
    <w:rsid w:val="00CF3362"/>
    <w:rsid w:val="00D00597"/>
    <w:rsid w:val="00D0499B"/>
    <w:rsid w:val="00D05913"/>
    <w:rsid w:val="00D064A8"/>
    <w:rsid w:val="00D123AC"/>
    <w:rsid w:val="00D131F1"/>
    <w:rsid w:val="00D219F8"/>
    <w:rsid w:val="00D26AAB"/>
    <w:rsid w:val="00D27776"/>
    <w:rsid w:val="00D31664"/>
    <w:rsid w:val="00D334FB"/>
    <w:rsid w:val="00D34ED1"/>
    <w:rsid w:val="00D36F96"/>
    <w:rsid w:val="00D37D0F"/>
    <w:rsid w:val="00D4021B"/>
    <w:rsid w:val="00D44180"/>
    <w:rsid w:val="00D45448"/>
    <w:rsid w:val="00D45478"/>
    <w:rsid w:val="00D5030A"/>
    <w:rsid w:val="00D631B5"/>
    <w:rsid w:val="00D636B6"/>
    <w:rsid w:val="00D6395A"/>
    <w:rsid w:val="00D64410"/>
    <w:rsid w:val="00D65A9D"/>
    <w:rsid w:val="00D65D59"/>
    <w:rsid w:val="00D71048"/>
    <w:rsid w:val="00D75A8C"/>
    <w:rsid w:val="00D8061F"/>
    <w:rsid w:val="00D81040"/>
    <w:rsid w:val="00D8619B"/>
    <w:rsid w:val="00D87105"/>
    <w:rsid w:val="00D90EDE"/>
    <w:rsid w:val="00D9118A"/>
    <w:rsid w:val="00D95F08"/>
    <w:rsid w:val="00D97262"/>
    <w:rsid w:val="00D974C8"/>
    <w:rsid w:val="00DA21A3"/>
    <w:rsid w:val="00DA45D0"/>
    <w:rsid w:val="00DA472F"/>
    <w:rsid w:val="00DA5711"/>
    <w:rsid w:val="00DA6C86"/>
    <w:rsid w:val="00DA7078"/>
    <w:rsid w:val="00DB1B7A"/>
    <w:rsid w:val="00DB5B22"/>
    <w:rsid w:val="00DB7D6C"/>
    <w:rsid w:val="00DC12AC"/>
    <w:rsid w:val="00DC225D"/>
    <w:rsid w:val="00DC26CD"/>
    <w:rsid w:val="00DC2B54"/>
    <w:rsid w:val="00DC306A"/>
    <w:rsid w:val="00DC6FE5"/>
    <w:rsid w:val="00DD31B8"/>
    <w:rsid w:val="00DD5722"/>
    <w:rsid w:val="00DD619B"/>
    <w:rsid w:val="00DD6DFF"/>
    <w:rsid w:val="00DD78F4"/>
    <w:rsid w:val="00DE05F0"/>
    <w:rsid w:val="00DE091A"/>
    <w:rsid w:val="00DE27A5"/>
    <w:rsid w:val="00DE4601"/>
    <w:rsid w:val="00DE463D"/>
    <w:rsid w:val="00DF048E"/>
    <w:rsid w:val="00DF2934"/>
    <w:rsid w:val="00DF5282"/>
    <w:rsid w:val="00E0446E"/>
    <w:rsid w:val="00E048A9"/>
    <w:rsid w:val="00E05197"/>
    <w:rsid w:val="00E05779"/>
    <w:rsid w:val="00E05E45"/>
    <w:rsid w:val="00E06EB9"/>
    <w:rsid w:val="00E10732"/>
    <w:rsid w:val="00E149E2"/>
    <w:rsid w:val="00E15543"/>
    <w:rsid w:val="00E16233"/>
    <w:rsid w:val="00E21130"/>
    <w:rsid w:val="00E22DEB"/>
    <w:rsid w:val="00E31703"/>
    <w:rsid w:val="00E339F7"/>
    <w:rsid w:val="00E41C6C"/>
    <w:rsid w:val="00E41EE0"/>
    <w:rsid w:val="00E5087D"/>
    <w:rsid w:val="00E50B1B"/>
    <w:rsid w:val="00E51B78"/>
    <w:rsid w:val="00E52F75"/>
    <w:rsid w:val="00E53FFD"/>
    <w:rsid w:val="00E6127F"/>
    <w:rsid w:val="00E61712"/>
    <w:rsid w:val="00E7087F"/>
    <w:rsid w:val="00E70FA3"/>
    <w:rsid w:val="00E729CA"/>
    <w:rsid w:val="00E742C6"/>
    <w:rsid w:val="00E74D43"/>
    <w:rsid w:val="00E76355"/>
    <w:rsid w:val="00E82340"/>
    <w:rsid w:val="00E8326B"/>
    <w:rsid w:val="00E8402C"/>
    <w:rsid w:val="00E852E4"/>
    <w:rsid w:val="00E85F2B"/>
    <w:rsid w:val="00E90C23"/>
    <w:rsid w:val="00E913A6"/>
    <w:rsid w:val="00E91860"/>
    <w:rsid w:val="00E92C91"/>
    <w:rsid w:val="00E94F1E"/>
    <w:rsid w:val="00E9576A"/>
    <w:rsid w:val="00E95D16"/>
    <w:rsid w:val="00EA1142"/>
    <w:rsid w:val="00EA1706"/>
    <w:rsid w:val="00EA1D4E"/>
    <w:rsid w:val="00EA2394"/>
    <w:rsid w:val="00EB1C16"/>
    <w:rsid w:val="00EB5832"/>
    <w:rsid w:val="00EB6CD8"/>
    <w:rsid w:val="00EC6676"/>
    <w:rsid w:val="00ED27EA"/>
    <w:rsid w:val="00ED3718"/>
    <w:rsid w:val="00ED679D"/>
    <w:rsid w:val="00EE0EF5"/>
    <w:rsid w:val="00EE100C"/>
    <w:rsid w:val="00EE50CC"/>
    <w:rsid w:val="00EE536E"/>
    <w:rsid w:val="00EE752E"/>
    <w:rsid w:val="00EF0305"/>
    <w:rsid w:val="00EF1902"/>
    <w:rsid w:val="00EF523F"/>
    <w:rsid w:val="00EF5596"/>
    <w:rsid w:val="00EF65E0"/>
    <w:rsid w:val="00EF723D"/>
    <w:rsid w:val="00F00E96"/>
    <w:rsid w:val="00F00EEE"/>
    <w:rsid w:val="00F01859"/>
    <w:rsid w:val="00F02F72"/>
    <w:rsid w:val="00F034B7"/>
    <w:rsid w:val="00F0398A"/>
    <w:rsid w:val="00F05D3E"/>
    <w:rsid w:val="00F076B3"/>
    <w:rsid w:val="00F11EF1"/>
    <w:rsid w:val="00F15C6D"/>
    <w:rsid w:val="00F179B1"/>
    <w:rsid w:val="00F17EF8"/>
    <w:rsid w:val="00F22CC7"/>
    <w:rsid w:val="00F258D0"/>
    <w:rsid w:val="00F3097A"/>
    <w:rsid w:val="00F30C92"/>
    <w:rsid w:val="00F341C1"/>
    <w:rsid w:val="00F36156"/>
    <w:rsid w:val="00F37B64"/>
    <w:rsid w:val="00F5571A"/>
    <w:rsid w:val="00F557C2"/>
    <w:rsid w:val="00F56056"/>
    <w:rsid w:val="00F564FD"/>
    <w:rsid w:val="00F56C30"/>
    <w:rsid w:val="00F63070"/>
    <w:rsid w:val="00F6320C"/>
    <w:rsid w:val="00F64DCD"/>
    <w:rsid w:val="00F664E0"/>
    <w:rsid w:val="00F674CC"/>
    <w:rsid w:val="00F77CCB"/>
    <w:rsid w:val="00F80C50"/>
    <w:rsid w:val="00F81BA4"/>
    <w:rsid w:val="00F823B3"/>
    <w:rsid w:val="00F82BB1"/>
    <w:rsid w:val="00F82F8E"/>
    <w:rsid w:val="00F838FD"/>
    <w:rsid w:val="00F83F91"/>
    <w:rsid w:val="00F861C1"/>
    <w:rsid w:val="00F86E2C"/>
    <w:rsid w:val="00FA1374"/>
    <w:rsid w:val="00FA172F"/>
    <w:rsid w:val="00FA5E2C"/>
    <w:rsid w:val="00FA751D"/>
    <w:rsid w:val="00FA7D40"/>
    <w:rsid w:val="00FB5364"/>
    <w:rsid w:val="00FB7E10"/>
    <w:rsid w:val="00FC38F6"/>
    <w:rsid w:val="00FC56DD"/>
    <w:rsid w:val="00FD100A"/>
    <w:rsid w:val="00FD26A2"/>
    <w:rsid w:val="00FD2804"/>
    <w:rsid w:val="00FD2CF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BDED64-0C2C-4BC8-9EFF-4CC8B850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89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 w:type="paragraph" w:customStyle="1" w:styleId="Padro">
    <w:name w:val="Padrão"/>
    <w:uiPriority w:val="99"/>
    <w:rsid w:val="007926BD"/>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1BA98-A91F-4B01-9EC5-BA534316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1918</Words>
  <Characters>10359</Characters>
  <Application>Microsoft Office Word</Application>
  <DocSecurity>0</DocSecurity>
  <Lines>86</Lines>
  <Paragraphs>24</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23/2026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2026-06-08T19:09:00Z</cp:lastPrinted>
  <dcterms:created xsi:type="dcterms:W3CDTF">2026-06-10T12:40:00Z</dcterms:created>
  <dcterms:modified xsi:type="dcterms:W3CDTF">2026-06-10T12:40:00Z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