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7C5988">
        <w:rPr>
          <w:spacing w:val="-1"/>
        </w:rPr>
        <w:t>54/2025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7C5988">
        <w:t>54/2025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9A787F"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7626"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7C5988">
        <w:t>54/2025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A787F"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82EB"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7C5988">
        <w:t>54/2025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0E02E7">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0E02E7">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0E02E7">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0E02E7">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77565B" w:rsidRPr="00EF121C">
        <w:rPr>
          <w:b/>
        </w:rPr>
        <w:t>AQUISIÇÃO DE MÓVEIS PLANEJADOS</w:t>
      </w:r>
      <w:r w:rsidRPr="00A87255">
        <w:rPr>
          <w:b/>
        </w:rPr>
        <w:t xml:space="preserve">, </w:t>
      </w:r>
      <w:r w:rsidRPr="00A87255">
        <w:t>em atendimento a Prefeitura Municipal de Pilar do Sul, conforme especificações constantes no ANEXO I – TERMO DE REFERÊNCIA.</w:t>
      </w:r>
    </w:p>
    <w:p w:rsidR="0077565B" w:rsidRPr="00B439CB" w:rsidRDefault="006905F5" w:rsidP="006905F5">
      <w:pPr>
        <w:widowControl/>
        <w:autoSpaceDE/>
        <w:autoSpaceDN/>
        <w:jc w:val="both"/>
        <w:rPr>
          <w:rFonts w:eastAsia="Times New Roman" w:cs="Arial"/>
          <w:lang w:val="pt-BR" w:eastAsia="pt-BR" w:bidi="ar-SA"/>
        </w:rPr>
      </w:pPr>
      <w:r w:rsidRPr="00B439CB">
        <w:rPr>
          <w:rFonts w:eastAsia="Times New Roman" w:cs="Arial"/>
          <w:lang w:val="pt-BR" w:eastAsia="pt-BR" w:bidi="ar-SA"/>
        </w:rPr>
        <w:tab/>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4819"/>
        <w:gridCol w:w="851"/>
        <w:gridCol w:w="855"/>
        <w:gridCol w:w="851"/>
        <w:gridCol w:w="853"/>
        <w:gridCol w:w="853"/>
      </w:tblGrid>
      <w:tr w:rsidR="0077565B" w:rsidRPr="00B439CB" w:rsidTr="0077565B">
        <w:trPr>
          <w:trHeight w:val="510"/>
          <w:jc w:val="center"/>
        </w:trPr>
        <w:tc>
          <w:tcPr>
            <w:tcW w:w="5000" w:type="pct"/>
            <w:gridSpan w:val="7"/>
            <w:shd w:val="clear" w:color="auto" w:fill="B8CCE4" w:themeFill="accent1" w:themeFillTint="66"/>
            <w:vAlign w:val="center"/>
          </w:tcPr>
          <w:p w:rsidR="0077565B" w:rsidRPr="00A35164" w:rsidRDefault="0077565B" w:rsidP="00956850">
            <w:pPr>
              <w:widowControl/>
              <w:autoSpaceDE/>
              <w:autoSpaceDN/>
              <w:jc w:val="center"/>
              <w:rPr>
                <w:rFonts w:eastAsia="Times New Roman" w:cs="Arial"/>
                <w:b/>
                <w:bCs/>
                <w:lang w:val="pt-BR" w:eastAsia="pt-BR" w:bidi="ar-SA"/>
              </w:rPr>
            </w:pPr>
            <w:r w:rsidRPr="00A35164">
              <w:rPr>
                <w:rFonts w:eastAsia="Times New Roman" w:cs="Arial"/>
                <w:b/>
                <w:bCs/>
                <w:lang w:val="pt-BR" w:eastAsia="pt-BR" w:bidi="ar-SA"/>
              </w:rPr>
              <w:t>LOTE 01 - CRAS</w:t>
            </w:r>
          </w:p>
        </w:tc>
      </w:tr>
      <w:tr w:rsidR="0077565B" w:rsidRPr="00B439CB" w:rsidTr="0077565B">
        <w:trPr>
          <w:trHeight w:val="20"/>
          <w:jc w:val="center"/>
        </w:trPr>
        <w:tc>
          <w:tcPr>
            <w:tcW w:w="325" w:type="pct"/>
            <w:shd w:val="clear" w:color="auto" w:fill="B8CCE4" w:themeFill="accent1" w:themeFillTint="66"/>
            <w:vAlign w:val="center"/>
            <w:hideMark/>
          </w:tcPr>
          <w:p w:rsidR="0077565B" w:rsidRPr="00B439CB" w:rsidRDefault="0077565B" w:rsidP="0077565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Item</w:t>
            </w:r>
          </w:p>
        </w:tc>
        <w:tc>
          <w:tcPr>
            <w:tcW w:w="2481" w:type="pct"/>
            <w:shd w:val="clear" w:color="auto" w:fill="B8CCE4" w:themeFill="accent1" w:themeFillTint="66"/>
            <w:vAlign w:val="center"/>
            <w:hideMark/>
          </w:tcPr>
          <w:p w:rsidR="0077565B" w:rsidRPr="00B439CB" w:rsidRDefault="0077565B" w:rsidP="0077565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Descrição do objeto</w:t>
            </w:r>
          </w:p>
        </w:tc>
        <w:tc>
          <w:tcPr>
            <w:tcW w:w="438" w:type="pct"/>
            <w:shd w:val="clear" w:color="auto" w:fill="B8CCE4" w:themeFill="accent1" w:themeFillTint="66"/>
            <w:vAlign w:val="center"/>
            <w:hideMark/>
          </w:tcPr>
          <w:p w:rsidR="0077565B" w:rsidRPr="00B439CB" w:rsidRDefault="0077565B" w:rsidP="0077565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Und</w:t>
            </w:r>
          </w:p>
        </w:tc>
        <w:tc>
          <w:tcPr>
            <w:tcW w:w="440" w:type="pct"/>
            <w:shd w:val="clear" w:color="auto" w:fill="B8CCE4" w:themeFill="accent1" w:themeFillTint="66"/>
            <w:vAlign w:val="center"/>
            <w:hideMark/>
          </w:tcPr>
          <w:p w:rsidR="0077565B" w:rsidRPr="00B439CB" w:rsidRDefault="0077565B" w:rsidP="0077565B">
            <w:pPr>
              <w:widowControl/>
              <w:autoSpaceDE/>
              <w:autoSpaceDN/>
              <w:jc w:val="center"/>
              <w:rPr>
                <w:rFonts w:eastAsia="Times New Roman" w:cs="Arial"/>
                <w:b/>
                <w:bCs/>
                <w:lang w:val="pt-BR" w:eastAsia="pt-BR" w:bidi="ar-SA"/>
              </w:rPr>
            </w:pPr>
            <w:r>
              <w:rPr>
                <w:rFonts w:eastAsia="Times New Roman" w:cs="Arial"/>
                <w:b/>
                <w:bCs/>
                <w:lang w:val="pt-BR" w:eastAsia="pt-BR" w:bidi="ar-SA"/>
              </w:rPr>
              <w:t>Quant.</w:t>
            </w:r>
          </w:p>
        </w:tc>
        <w:tc>
          <w:tcPr>
            <w:tcW w:w="438" w:type="pct"/>
            <w:shd w:val="clear" w:color="auto" w:fill="B8CCE4" w:themeFill="accent1" w:themeFillTint="66"/>
            <w:vAlign w:val="center"/>
          </w:tcPr>
          <w:p w:rsidR="0077565B" w:rsidRDefault="0077565B" w:rsidP="0077565B">
            <w:pPr>
              <w:widowControl/>
              <w:autoSpaceDE/>
              <w:autoSpaceDN/>
              <w:jc w:val="center"/>
              <w:rPr>
                <w:rFonts w:eastAsia="Times New Roman" w:cs="Arial"/>
                <w:b/>
                <w:bCs/>
                <w:lang w:val="pt-BR" w:eastAsia="pt-BR" w:bidi="ar-SA"/>
              </w:rPr>
            </w:pPr>
            <w:r>
              <w:rPr>
                <w:rFonts w:eastAsia="Times New Roman" w:cs="Arial"/>
                <w:b/>
                <w:bCs/>
                <w:lang w:val="pt-BR" w:eastAsia="pt-BR" w:bidi="ar-SA"/>
              </w:rPr>
              <w:t>Marca</w:t>
            </w:r>
          </w:p>
        </w:tc>
        <w:tc>
          <w:tcPr>
            <w:tcW w:w="438" w:type="pct"/>
            <w:shd w:val="clear" w:color="auto" w:fill="B8CCE4" w:themeFill="accent1" w:themeFillTint="66"/>
            <w:vAlign w:val="center"/>
          </w:tcPr>
          <w:p w:rsidR="0077565B" w:rsidRDefault="0077565B" w:rsidP="0077565B">
            <w:pPr>
              <w:widowControl/>
              <w:autoSpaceDE/>
              <w:autoSpaceDN/>
              <w:jc w:val="center"/>
              <w:rPr>
                <w:rFonts w:eastAsia="Times New Roman" w:cs="Arial"/>
                <w:b/>
                <w:bCs/>
                <w:lang w:val="pt-BR" w:eastAsia="pt-BR" w:bidi="ar-SA"/>
              </w:rPr>
            </w:pPr>
            <w:r>
              <w:rPr>
                <w:rFonts w:eastAsia="Times New Roman" w:cs="Arial"/>
                <w:b/>
                <w:bCs/>
                <w:lang w:val="pt-BR" w:eastAsia="pt-BR" w:bidi="ar-SA"/>
              </w:rPr>
              <w:t>Valor Unit.</w:t>
            </w:r>
          </w:p>
        </w:tc>
        <w:tc>
          <w:tcPr>
            <w:tcW w:w="439" w:type="pct"/>
            <w:shd w:val="clear" w:color="auto" w:fill="B8CCE4" w:themeFill="accent1" w:themeFillTint="66"/>
            <w:vAlign w:val="center"/>
          </w:tcPr>
          <w:p w:rsidR="0077565B" w:rsidRDefault="0077565B" w:rsidP="0077565B">
            <w:pPr>
              <w:widowControl/>
              <w:autoSpaceDE/>
              <w:autoSpaceDN/>
              <w:jc w:val="center"/>
              <w:rPr>
                <w:rFonts w:eastAsia="Times New Roman" w:cs="Arial"/>
                <w:b/>
                <w:bCs/>
                <w:lang w:val="pt-BR" w:eastAsia="pt-BR" w:bidi="ar-SA"/>
              </w:rPr>
            </w:pPr>
            <w:r>
              <w:rPr>
                <w:rFonts w:eastAsia="Times New Roman" w:cs="Arial"/>
                <w:b/>
                <w:bCs/>
                <w:lang w:val="pt-BR" w:eastAsia="pt-BR" w:bidi="ar-SA"/>
              </w:rPr>
              <w:t>Valor Total</w:t>
            </w:r>
          </w:p>
        </w:tc>
      </w:tr>
      <w:tr w:rsidR="0077565B" w:rsidRPr="00B439CB" w:rsidTr="0077565B">
        <w:trPr>
          <w:trHeight w:val="57"/>
          <w:jc w:val="center"/>
        </w:trPr>
        <w:tc>
          <w:tcPr>
            <w:tcW w:w="325"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w:t>
            </w:r>
          </w:p>
        </w:tc>
        <w:tc>
          <w:tcPr>
            <w:tcW w:w="2481" w:type="pct"/>
            <w:shd w:val="clear" w:color="auto" w:fill="auto"/>
            <w:noWrap/>
            <w:vAlign w:val="center"/>
            <w:hideMark/>
          </w:tcPr>
          <w:p w:rsidR="0077565B" w:rsidRPr="00B439CB" w:rsidRDefault="0077565B" w:rsidP="00956850">
            <w:pPr>
              <w:widowControl/>
              <w:autoSpaceDE/>
              <w:autoSpaceDN/>
              <w:jc w:val="both"/>
              <w:rPr>
                <w:rFonts w:eastAsia="Arial Unicode MS" w:cs="Arial"/>
                <w:color w:val="000000"/>
                <w:lang w:val="pt-BR" w:eastAsia="pt-BR" w:bidi="ar-SA"/>
              </w:rPr>
            </w:pPr>
            <w:r>
              <w:t>Estante para livros com nichos em mdf branco tx 18mm, 3,50x2,60x0,35 (LXAXP)</w:t>
            </w:r>
          </w:p>
        </w:tc>
        <w:tc>
          <w:tcPr>
            <w:tcW w:w="438" w:type="pct"/>
            <w:shd w:val="clear" w:color="auto" w:fill="auto"/>
            <w:noWrap/>
            <w:vAlign w:val="center"/>
            <w:hideMark/>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Und.</w:t>
            </w:r>
          </w:p>
        </w:tc>
        <w:tc>
          <w:tcPr>
            <w:tcW w:w="44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9"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5"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w:t>
            </w:r>
          </w:p>
        </w:tc>
        <w:tc>
          <w:tcPr>
            <w:tcW w:w="2481" w:type="pct"/>
            <w:shd w:val="clear" w:color="auto" w:fill="auto"/>
            <w:noWrap/>
            <w:vAlign w:val="center"/>
            <w:hideMark/>
          </w:tcPr>
          <w:p w:rsidR="0077565B" w:rsidRPr="00B439CB" w:rsidRDefault="00956850" w:rsidP="00956850">
            <w:pPr>
              <w:widowControl/>
              <w:autoSpaceDE/>
              <w:autoSpaceDN/>
              <w:jc w:val="both"/>
              <w:rPr>
                <w:rFonts w:eastAsia="Arial Unicode MS" w:cs="Arial"/>
                <w:color w:val="000000"/>
                <w:lang w:val="pt-BR" w:eastAsia="pt-BR" w:bidi="ar-SA"/>
              </w:rPr>
            </w:pPr>
            <w:r>
              <w:rPr>
                <w:lang w:val="pt-BR"/>
              </w:rPr>
              <w:t>M</w:t>
            </w:r>
            <w:r w:rsidR="0077565B">
              <w:t>óvel organizador de papéis com prateleiras fixas, gavetas com visor em acrílico transparente, nicho,</w:t>
            </w:r>
            <w:r w:rsidR="000E02E7">
              <w:t xml:space="preserve"> </w:t>
            </w:r>
            <w:r w:rsidR="0077565B">
              <w:t>colmeias e suporte lateral para bobinas, em mdf branco tx 18mm para estrutura, prateleiras e frentes de gavetas, mdf 06mm branco tx para fundo e fundo de gavetas. Medidas 2,10 x 4,0 x 0,73 (AXLXP)</w:t>
            </w:r>
          </w:p>
        </w:tc>
        <w:tc>
          <w:tcPr>
            <w:tcW w:w="438" w:type="pct"/>
            <w:shd w:val="clear" w:color="auto" w:fill="auto"/>
            <w:noWrap/>
            <w:vAlign w:val="center"/>
            <w:hideMark/>
          </w:tcPr>
          <w:p w:rsidR="0077565B" w:rsidRDefault="0077565B" w:rsidP="00956850">
            <w:pPr>
              <w:jc w:val="center"/>
            </w:pPr>
            <w:r w:rsidRPr="00BF3398">
              <w:rPr>
                <w:rFonts w:eastAsia="Times New Roman" w:cs="Arial"/>
                <w:color w:val="000000"/>
                <w:lang w:val="pt-BR" w:eastAsia="pt-BR" w:bidi="ar-SA"/>
              </w:rPr>
              <w:t>Und.</w:t>
            </w:r>
          </w:p>
        </w:tc>
        <w:tc>
          <w:tcPr>
            <w:tcW w:w="44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9"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5"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w:t>
            </w:r>
          </w:p>
        </w:tc>
        <w:tc>
          <w:tcPr>
            <w:tcW w:w="2481" w:type="pct"/>
            <w:shd w:val="clear" w:color="auto" w:fill="auto"/>
            <w:noWrap/>
            <w:vAlign w:val="center"/>
            <w:hideMark/>
          </w:tcPr>
          <w:p w:rsidR="0077565B" w:rsidRPr="00B439CB" w:rsidRDefault="0077565B" w:rsidP="00956850">
            <w:pPr>
              <w:widowControl/>
              <w:autoSpaceDE/>
              <w:autoSpaceDN/>
              <w:jc w:val="both"/>
              <w:rPr>
                <w:rFonts w:eastAsia="Arial Unicode MS" w:cs="Arial"/>
                <w:color w:val="000000"/>
                <w:lang w:eastAsia="pt-BR" w:bidi="ar-SA"/>
              </w:rPr>
            </w:pPr>
            <w:r>
              <w:t>Armário multiuso - medidas externas exatas 2,10x0,83x0,52 (AxLxP) – Tamponamento superior e lateral em MDF 33mm, revestido em laminado melamínico em ambas as faces e bordas em fita de PVC, parte interna em MDF 15mm, revestido em laminado melamínico em ambas as faces e bordas em fita de PVC com 2 portas de giro , dobradiças metálica com sistema de amortecimento,puxadores slim preto fosco metálico, 3 prateleiras internas em MDF 15mm revestido em laminado melamínico em ambas as faces.</w:t>
            </w:r>
          </w:p>
        </w:tc>
        <w:tc>
          <w:tcPr>
            <w:tcW w:w="438" w:type="pct"/>
            <w:shd w:val="clear" w:color="auto" w:fill="auto"/>
            <w:noWrap/>
            <w:vAlign w:val="center"/>
            <w:hideMark/>
          </w:tcPr>
          <w:p w:rsidR="0077565B" w:rsidRDefault="0077565B" w:rsidP="00956850">
            <w:pPr>
              <w:jc w:val="center"/>
            </w:pPr>
            <w:r w:rsidRPr="00BF3398">
              <w:rPr>
                <w:rFonts w:eastAsia="Times New Roman" w:cs="Arial"/>
                <w:color w:val="000000"/>
                <w:lang w:val="pt-BR" w:eastAsia="pt-BR" w:bidi="ar-SA"/>
              </w:rPr>
              <w:t>Und.</w:t>
            </w:r>
          </w:p>
        </w:tc>
        <w:tc>
          <w:tcPr>
            <w:tcW w:w="44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03</w:t>
            </w: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9"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5"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4</w:t>
            </w:r>
          </w:p>
        </w:tc>
        <w:tc>
          <w:tcPr>
            <w:tcW w:w="2481" w:type="pct"/>
            <w:shd w:val="clear" w:color="auto" w:fill="auto"/>
            <w:noWrap/>
            <w:vAlign w:val="center"/>
            <w:hideMark/>
          </w:tcPr>
          <w:p w:rsidR="0077565B" w:rsidRPr="00B439CB" w:rsidRDefault="0077565B" w:rsidP="00956850">
            <w:pPr>
              <w:widowControl/>
              <w:autoSpaceDE/>
              <w:autoSpaceDN/>
              <w:jc w:val="both"/>
              <w:rPr>
                <w:rFonts w:eastAsia="Arial Unicode MS" w:cs="Arial"/>
                <w:color w:val="000000"/>
                <w:lang w:val="pt-BR" w:eastAsia="pt-BR" w:bidi="ar-SA"/>
              </w:rPr>
            </w:pPr>
            <w:r>
              <w:t>Mesa de Trabalho com apoio lateral – medidas externas exatas para mesa 0,75x1,50x0,60 (AxLxP) – Tampo confeccionado em MDF 33mm, revestido em ambas as faces em laminado melamínico, bordas em fita de PVC, contendo furo para passa cabos com acabamento em PVC medindo 56mm de diâmetro. Estrutura dos pés em MDF 33mm revestido em laminado melamínico em ambas as faces, bordas em fita PVC. Apoio lateral com medidas externas exatas 0,75x0,40x0,40 (AxLxP) com 1 gaveta com corrediça larga</w:t>
            </w:r>
          </w:p>
        </w:tc>
        <w:tc>
          <w:tcPr>
            <w:tcW w:w="438" w:type="pct"/>
            <w:shd w:val="clear" w:color="auto" w:fill="auto"/>
            <w:noWrap/>
            <w:vAlign w:val="center"/>
            <w:hideMark/>
          </w:tcPr>
          <w:p w:rsidR="0077565B" w:rsidRDefault="0077565B" w:rsidP="00956850">
            <w:pPr>
              <w:jc w:val="center"/>
            </w:pPr>
            <w:r w:rsidRPr="00BF3398">
              <w:rPr>
                <w:rFonts w:eastAsia="Times New Roman" w:cs="Arial"/>
                <w:color w:val="000000"/>
                <w:lang w:val="pt-BR" w:eastAsia="pt-BR" w:bidi="ar-SA"/>
              </w:rPr>
              <w:t>Und.</w:t>
            </w:r>
          </w:p>
        </w:tc>
        <w:tc>
          <w:tcPr>
            <w:tcW w:w="44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03</w:t>
            </w: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9"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5"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5</w:t>
            </w:r>
          </w:p>
        </w:tc>
        <w:tc>
          <w:tcPr>
            <w:tcW w:w="2481" w:type="pct"/>
            <w:shd w:val="clear" w:color="auto" w:fill="auto"/>
            <w:noWrap/>
            <w:vAlign w:val="center"/>
            <w:hideMark/>
          </w:tcPr>
          <w:p w:rsidR="0077565B" w:rsidRPr="00B439CB" w:rsidRDefault="0077565B" w:rsidP="00956850">
            <w:pPr>
              <w:widowControl/>
              <w:autoSpaceDE/>
              <w:autoSpaceDN/>
              <w:jc w:val="both"/>
              <w:rPr>
                <w:rFonts w:eastAsia="Arial Unicode MS" w:cs="Arial"/>
                <w:color w:val="000000"/>
                <w:lang w:val="pt-BR" w:eastAsia="pt-BR" w:bidi="ar-SA"/>
              </w:rPr>
            </w:pPr>
            <w:r>
              <w:t>Balcão impressora – medidas externas 0,90x0,83x0,52 (axlxp) – tamponamento superior e lateral em mdf 33mm, revestido em laminado melamínico em ambas as faces e bordas em fita de pvc. com 2 portas de giro, dobradiças metálicas e sistema de amortecimento, 1 prateleira interna em mdf 15mm revestido em laminado melamínico em ambas as faces e borda em fita de pvc, puxador slim preto fosco metálico – acabamento amadeirado textura</w:t>
            </w:r>
          </w:p>
        </w:tc>
        <w:tc>
          <w:tcPr>
            <w:tcW w:w="438" w:type="pct"/>
            <w:shd w:val="clear" w:color="auto" w:fill="auto"/>
            <w:noWrap/>
            <w:vAlign w:val="center"/>
            <w:hideMark/>
          </w:tcPr>
          <w:p w:rsidR="0077565B" w:rsidRDefault="0077565B" w:rsidP="00956850">
            <w:pPr>
              <w:jc w:val="center"/>
            </w:pPr>
            <w:r w:rsidRPr="00BF3398">
              <w:rPr>
                <w:rFonts w:eastAsia="Times New Roman" w:cs="Arial"/>
                <w:color w:val="000000"/>
                <w:lang w:val="pt-BR" w:eastAsia="pt-BR" w:bidi="ar-SA"/>
              </w:rPr>
              <w:t>Und.</w:t>
            </w:r>
          </w:p>
        </w:tc>
        <w:tc>
          <w:tcPr>
            <w:tcW w:w="44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9"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5"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6</w:t>
            </w:r>
          </w:p>
        </w:tc>
        <w:tc>
          <w:tcPr>
            <w:tcW w:w="2481" w:type="pct"/>
            <w:shd w:val="clear" w:color="auto" w:fill="auto"/>
            <w:noWrap/>
            <w:vAlign w:val="center"/>
          </w:tcPr>
          <w:p w:rsidR="0077565B" w:rsidRPr="00B439CB" w:rsidRDefault="0077565B" w:rsidP="00956850">
            <w:pPr>
              <w:widowControl/>
              <w:autoSpaceDE/>
              <w:autoSpaceDN/>
              <w:jc w:val="both"/>
              <w:rPr>
                <w:rFonts w:eastAsia="Arial Unicode MS" w:cs="Arial"/>
                <w:color w:val="000000"/>
                <w:lang w:eastAsia="pt-BR" w:bidi="ar-SA"/>
              </w:rPr>
            </w:pPr>
            <w:r>
              <w:t>Revestimento parede em mdf branco TX com canais usinados na vertical 0,10x0,10cm medindo 6,5x1,35x0,30 (LXAXP)</w:t>
            </w:r>
          </w:p>
        </w:tc>
        <w:tc>
          <w:tcPr>
            <w:tcW w:w="438" w:type="pct"/>
            <w:shd w:val="clear" w:color="auto" w:fill="auto"/>
            <w:noWrap/>
            <w:vAlign w:val="center"/>
          </w:tcPr>
          <w:p w:rsidR="0077565B" w:rsidRDefault="0077565B" w:rsidP="00956850">
            <w:pPr>
              <w:jc w:val="center"/>
            </w:pPr>
            <w:r w:rsidRPr="00BF3398">
              <w:rPr>
                <w:rFonts w:eastAsia="Times New Roman" w:cs="Arial"/>
                <w:color w:val="000000"/>
                <w:lang w:val="pt-BR" w:eastAsia="pt-BR" w:bidi="ar-SA"/>
              </w:rPr>
              <w:t>Und.</w:t>
            </w:r>
          </w:p>
        </w:tc>
        <w:tc>
          <w:tcPr>
            <w:tcW w:w="440" w:type="pct"/>
            <w:shd w:val="clear" w:color="auto" w:fill="auto"/>
            <w:noWrap/>
            <w:vAlign w:val="center"/>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9"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5"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7</w:t>
            </w:r>
          </w:p>
        </w:tc>
        <w:tc>
          <w:tcPr>
            <w:tcW w:w="2481" w:type="pct"/>
            <w:shd w:val="clear" w:color="auto" w:fill="auto"/>
            <w:noWrap/>
            <w:vAlign w:val="center"/>
            <w:hideMark/>
          </w:tcPr>
          <w:p w:rsidR="0077565B" w:rsidRPr="00B439CB" w:rsidRDefault="0077565B" w:rsidP="00956850">
            <w:pPr>
              <w:widowControl/>
              <w:autoSpaceDE/>
              <w:autoSpaceDN/>
              <w:jc w:val="both"/>
              <w:rPr>
                <w:rFonts w:eastAsia="Arial Unicode MS" w:cs="Arial"/>
                <w:color w:val="000000"/>
                <w:lang w:val="pt-BR" w:eastAsia="pt-BR" w:bidi="ar-SA"/>
              </w:rPr>
            </w:pPr>
            <w:r>
              <w:t>Mesa escrivaninha em mdf branco TX 18mm com gaveteiro (duas gavetas) 0,30 x 0,28 x 0,35(AXLXP) corrediças telescópica larga para 30kg com sapatas de regulagem para altura. medidas 0,75x1,70x0,60 (AXLXP)</w:t>
            </w:r>
          </w:p>
        </w:tc>
        <w:tc>
          <w:tcPr>
            <w:tcW w:w="438" w:type="pct"/>
            <w:shd w:val="clear" w:color="auto" w:fill="auto"/>
            <w:noWrap/>
            <w:vAlign w:val="center"/>
            <w:hideMark/>
          </w:tcPr>
          <w:p w:rsidR="0077565B" w:rsidRDefault="0077565B" w:rsidP="00956850">
            <w:pPr>
              <w:jc w:val="center"/>
            </w:pPr>
            <w:r w:rsidRPr="00BF3398">
              <w:rPr>
                <w:rFonts w:eastAsia="Times New Roman" w:cs="Arial"/>
                <w:color w:val="000000"/>
                <w:lang w:val="pt-BR" w:eastAsia="pt-BR" w:bidi="ar-SA"/>
              </w:rPr>
              <w:t>Und.</w:t>
            </w:r>
          </w:p>
        </w:tc>
        <w:tc>
          <w:tcPr>
            <w:tcW w:w="44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8"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39"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77565B" w:rsidTr="00E65CE5">
        <w:trPr>
          <w:trHeight w:val="57"/>
          <w:jc w:val="center"/>
        </w:trPr>
        <w:tc>
          <w:tcPr>
            <w:tcW w:w="4561" w:type="pct"/>
            <w:gridSpan w:val="6"/>
            <w:shd w:val="clear" w:color="auto" w:fill="B8CCE4" w:themeFill="accent1" w:themeFillTint="66"/>
            <w:vAlign w:val="center"/>
          </w:tcPr>
          <w:p w:rsidR="0077565B" w:rsidRPr="0077565B" w:rsidRDefault="0077565B" w:rsidP="0077565B">
            <w:pPr>
              <w:widowControl/>
              <w:autoSpaceDE/>
              <w:autoSpaceDN/>
              <w:jc w:val="right"/>
              <w:rPr>
                <w:rFonts w:eastAsia="Arial Unicode MS" w:cs="Arial"/>
                <w:b/>
                <w:color w:val="000000"/>
                <w:lang w:val="pt-BR" w:eastAsia="pt-BR" w:bidi="ar-SA"/>
              </w:rPr>
            </w:pPr>
            <w:r w:rsidRPr="0077565B">
              <w:rPr>
                <w:rFonts w:eastAsia="Arial Unicode MS" w:cs="Arial"/>
                <w:b/>
                <w:color w:val="000000"/>
                <w:lang w:val="pt-BR" w:eastAsia="pt-BR" w:bidi="ar-SA"/>
              </w:rPr>
              <w:t>VALOR TOTAL DO LOTE – 01 R$</w:t>
            </w:r>
          </w:p>
        </w:tc>
        <w:tc>
          <w:tcPr>
            <w:tcW w:w="439" w:type="pct"/>
            <w:shd w:val="clear" w:color="auto" w:fill="B8CCE4" w:themeFill="accent1" w:themeFillTint="66"/>
            <w:vAlign w:val="center"/>
          </w:tcPr>
          <w:p w:rsidR="0077565B" w:rsidRPr="0077565B" w:rsidRDefault="0077565B" w:rsidP="0077565B">
            <w:pPr>
              <w:widowControl/>
              <w:autoSpaceDE/>
              <w:autoSpaceDN/>
              <w:jc w:val="center"/>
              <w:rPr>
                <w:rFonts w:eastAsia="Arial Unicode MS" w:cs="Arial"/>
                <w:b/>
                <w:color w:val="000000"/>
                <w:lang w:val="pt-BR" w:eastAsia="pt-BR" w:bidi="ar-SA"/>
              </w:rPr>
            </w:pPr>
          </w:p>
        </w:tc>
      </w:tr>
    </w:tbl>
    <w:p w:rsidR="0077565B" w:rsidRPr="00B439CB" w:rsidRDefault="0077565B" w:rsidP="0077565B">
      <w:pPr>
        <w:widowControl/>
        <w:autoSpaceDE/>
        <w:autoSpaceDN/>
        <w:jc w:val="both"/>
        <w:rPr>
          <w:rFonts w:eastAsia="Times New Roman" w:cs="Arial"/>
          <w:lang w:val="pt-BR" w:eastAsia="pt-BR" w:bidi="ar-SA"/>
        </w:rPr>
      </w:pPr>
      <w:r w:rsidRPr="00B439CB">
        <w:rPr>
          <w:rFonts w:eastAsia="Times New Roman" w:cs="Arial"/>
          <w:lang w:val="pt-BR" w:eastAsia="pt-BR" w:bidi="ar-SA"/>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4778"/>
        <w:gridCol w:w="851"/>
        <w:gridCol w:w="880"/>
        <w:gridCol w:w="880"/>
        <w:gridCol w:w="880"/>
        <w:gridCol w:w="875"/>
      </w:tblGrid>
      <w:tr w:rsidR="0077565B" w:rsidRPr="00B439CB" w:rsidTr="0077565B">
        <w:trPr>
          <w:trHeight w:val="510"/>
          <w:jc w:val="center"/>
        </w:trPr>
        <w:tc>
          <w:tcPr>
            <w:tcW w:w="5000" w:type="pct"/>
            <w:gridSpan w:val="7"/>
            <w:shd w:val="clear" w:color="auto" w:fill="B6DDE8" w:themeFill="accent5" w:themeFillTint="66"/>
            <w:vAlign w:val="center"/>
          </w:tcPr>
          <w:p w:rsidR="0077565B" w:rsidRPr="00A35164" w:rsidRDefault="0077565B" w:rsidP="00956850">
            <w:pPr>
              <w:widowControl/>
              <w:autoSpaceDE/>
              <w:autoSpaceDN/>
              <w:jc w:val="center"/>
              <w:rPr>
                <w:rFonts w:eastAsia="Times New Roman" w:cs="Arial"/>
                <w:b/>
                <w:bCs/>
                <w:lang w:val="pt-BR" w:eastAsia="pt-BR" w:bidi="ar-SA"/>
              </w:rPr>
            </w:pPr>
            <w:r w:rsidRPr="00A35164">
              <w:rPr>
                <w:rFonts w:eastAsia="Times New Roman" w:cs="Arial"/>
                <w:b/>
                <w:bCs/>
                <w:lang w:val="pt-BR" w:eastAsia="pt-BR" w:bidi="ar-SA"/>
              </w:rPr>
              <w:t>LOTE 2 – GABINETE</w:t>
            </w:r>
          </w:p>
        </w:tc>
      </w:tr>
      <w:tr w:rsidR="0077565B" w:rsidRPr="00B439CB" w:rsidTr="0077565B">
        <w:trPr>
          <w:trHeight w:val="20"/>
          <w:jc w:val="center"/>
        </w:trPr>
        <w:tc>
          <w:tcPr>
            <w:tcW w:w="326" w:type="pct"/>
            <w:shd w:val="clear" w:color="auto" w:fill="B6DDE8" w:themeFill="accent5" w:themeFillTint="66"/>
            <w:vAlign w:val="center"/>
            <w:hideMark/>
          </w:tcPr>
          <w:p w:rsidR="0077565B" w:rsidRPr="00B439CB" w:rsidRDefault="0077565B" w:rsidP="00956850">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Item</w:t>
            </w:r>
          </w:p>
        </w:tc>
        <w:tc>
          <w:tcPr>
            <w:tcW w:w="2442" w:type="pct"/>
            <w:shd w:val="clear" w:color="auto" w:fill="B6DDE8" w:themeFill="accent5" w:themeFillTint="66"/>
            <w:vAlign w:val="center"/>
            <w:hideMark/>
          </w:tcPr>
          <w:p w:rsidR="0077565B" w:rsidRPr="00B439CB" w:rsidRDefault="0077565B" w:rsidP="00956850">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Descrição do objeto</w:t>
            </w:r>
          </w:p>
        </w:tc>
        <w:tc>
          <w:tcPr>
            <w:tcW w:w="435" w:type="pct"/>
            <w:shd w:val="clear" w:color="auto" w:fill="B6DDE8" w:themeFill="accent5" w:themeFillTint="66"/>
            <w:vAlign w:val="center"/>
            <w:hideMark/>
          </w:tcPr>
          <w:p w:rsidR="0077565B" w:rsidRPr="00B439CB" w:rsidRDefault="0077565B" w:rsidP="00956850">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Und</w:t>
            </w:r>
          </w:p>
        </w:tc>
        <w:tc>
          <w:tcPr>
            <w:tcW w:w="450" w:type="pct"/>
            <w:shd w:val="clear" w:color="auto" w:fill="B6DDE8" w:themeFill="accent5" w:themeFillTint="66"/>
            <w:vAlign w:val="center"/>
            <w:hideMark/>
          </w:tcPr>
          <w:p w:rsidR="0077565B" w:rsidRPr="00B439CB" w:rsidRDefault="0077565B" w:rsidP="00956850">
            <w:pPr>
              <w:widowControl/>
              <w:autoSpaceDE/>
              <w:autoSpaceDN/>
              <w:jc w:val="center"/>
              <w:rPr>
                <w:rFonts w:eastAsia="Times New Roman" w:cs="Arial"/>
                <w:b/>
                <w:bCs/>
                <w:lang w:val="pt-BR" w:eastAsia="pt-BR" w:bidi="ar-SA"/>
              </w:rPr>
            </w:pPr>
            <w:r>
              <w:rPr>
                <w:rFonts w:eastAsia="Times New Roman" w:cs="Arial"/>
                <w:b/>
                <w:bCs/>
                <w:lang w:val="pt-BR" w:eastAsia="pt-BR" w:bidi="ar-SA"/>
              </w:rPr>
              <w:t>Quant.</w:t>
            </w:r>
          </w:p>
        </w:tc>
        <w:tc>
          <w:tcPr>
            <w:tcW w:w="450" w:type="pct"/>
            <w:shd w:val="clear" w:color="auto" w:fill="B6DDE8" w:themeFill="accent5" w:themeFillTint="66"/>
            <w:vAlign w:val="center"/>
          </w:tcPr>
          <w:p w:rsidR="0077565B" w:rsidRDefault="0077565B" w:rsidP="00956850">
            <w:pPr>
              <w:widowControl/>
              <w:autoSpaceDE/>
              <w:autoSpaceDN/>
              <w:jc w:val="center"/>
              <w:rPr>
                <w:rFonts w:eastAsia="Times New Roman" w:cs="Arial"/>
                <w:b/>
                <w:bCs/>
                <w:lang w:val="pt-BR" w:eastAsia="pt-BR" w:bidi="ar-SA"/>
              </w:rPr>
            </w:pPr>
            <w:r>
              <w:rPr>
                <w:rFonts w:eastAsia="Times New Roman" w:cs="Arial"/>
                <w:b/>
                <w:bCs/>
                <w:lang w:val="pt-BR" w:eastAsia="pt-BR" w:bidi="ar-SA"/>
              </w:rPr>
              <w:t>Marca</w:t>
            </w:r>
          </w:p>
        </w:tc>
        <w:tc>
          <w:tcPr>
            <w:tcW w:w="450" w:type="pct"/>
            <w:shd w:val="clear" w:color="auto" w:fill="B6DDE8" w:themeFill="accent5" w:themeFillTint="66"/>
            <w:vAlign w:val="center"/>
          </w:tcPr>
          <w:p w:rsidR="0077565B" w:rsidRDefault="0077565B" w:rsidP="00956850">
            <w:pPr>
              <w:widowControl/>
              <w:autoSpaceDE/>
              <w:autoSpaceDN/>
              <w:jc w:val="center"/>
              <w:rPr>
                <w:rFonts w:eastAsia="Times New Roman" w:cs="Arial"/>
                <w:b/>
                <w:bCs/>
                <w:lang w:val="pt-BR" w:eastAsia="pt-BR" w:bidi="ar-SA"/>
              </w:rPr>
            </w:pPr>
            <w:r>
              <w:rPr>
                <w:rFonts w:eastAsia="Times New Roman" w:cs="Arial"/>
                <w:b/>
                <w:bCs/>
                <w:lang w:val="pt-BR" w:eastAsia="pt-BR" w:bidi="ar-SA"/>
              </w:rPr>
              <w:t>Valor Unit.</w:t>
            </w:r>
          </w:p>
        </w:tc>
        <w:tc>
          <w:tcPr>
            <w:tcW w:w="447" w:type="pct"/>
            <w:shd w:val="clear" w:color="auto" w:fill="B6DDE8" w:themeFill="accent5" w:themeFillTint="66"/>
            <w:vAlign w:val="center"/>
          </w:tcPr>
          <w:p w:rsidR="0077565B" w:rsidRDefault="0077565B" w:rsidP="00956850">
            <w:pPr>
              <w:widowControl/>
              <w:autoSpaceDE/>
              <w:autoSpaceDN/>
              <w:jc w:val="center"/>
              <w:rPr>
                <w:rFonts w:eastAsia="Times New Roman" w:cs="Arial"/>
                <w:b/>
                <w:bCs/>
                <w:lang w:val="pt-BR" w:eastAsia="pt-BR" w:bidi="ar-SA"/>
              </w:rPr>
            </w:pPr>
            <w:r>
              <w:rPr>
                <w:rFonts w:eastAsia="Times New Roman" w:cs="Arial"/>
                <w:b/>
                <w:bCs/>
                <w:lang w:val="pt-BR" w:eastAsia="pt-BR" w:bidi="ar-SA"/>
              </w:rPr>
              <w:t>Valor Total</w:t>
            </w:r>
          </w:p>
        </w:tc>
      </w:tr>
      <w:tr w:rsidR="0077565B" w:rsidRPr="00B439CB" w:rsidTr="0077565B">
        <w:trPr>
          <w:trHeight w:val="57"/>
          <w:jc w:val="center"/>
        </w:trPr>
        <w:tc>
          <w:tcPr>
            <w:tcW w:w="326"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w:t>
            </w:r>
          </w:p>
        </w:tc>
        <w:tc>
          <w:tcPr>
            <w:tcW w:w="2442" w:type="pct"/>
            <w:shd w:val="clear" w:color="auto" w:fill="auto"/>
            <w:noWrap/>
            <w:vAlign w:val="center"/>
            <w:hideMark/>
          </w:tcPr>
          <w:p w:rsidR="0077565B" w:rsidRPr="00B439CB" w:rsidRDefault="0077565B" w:rsidP="00956850">
            <w:pPr>
              <w:widowControl/>
              <w:autoSpaceDE/>
              <w:autoSpaceDN/>
              <w:jc w:val="both"/>
              <w:rPr>
                <w:rFonts w:eastAsia="Times New Roman" w:cs="Arial"/>
                <w:color w:val="2F2F2F"/>
                <w:lang w:eastAsia="pt-BR" w:bidi="ar-SA"/>
              </w:rPr>
            </w:pPr>
            <w:r>
              <w:t>Prateleira em MDF 30MM, revestida em laminado melaminico em ambas as faces, bordas em fita PVC, fixada com pino invisível nas medidas 0,80X0,20 (LXP) amadeirado textura conforme cor existente</w:t>
            </w:r>
          </w:p>
        </w:tc>
        <w:tc>
          <w:tcPr>
            <w:tcW w:w="435" w:type="pct"/>
            <w:shd w:val="clear" w:color="auto" w:fill="auto"/>
            <w:noWrap/>
            <w:vAlign w:val="center"/>
            <w:hideMark/>
          </w:tcPr>
          <w:p w:rsidR="0077565B" w:rsidRDefault="0077565B" w:rsidP="00956850">
            <w:pPr>
              <w:jc w:val="center"/>
            </w:pPr>
            <w:r w:rsidRPr="008274C6">
              <w:rPr>
                <w:rFonts w:eastAsia="Times New Roman" w:cs="Arial"/>
                <w:color w:val="000000"/>
                <w:lang w:val="pt-BR" w:eastAsia="pt-BR" w:bidi="ar-SA"/>
              </w:rPr>
              <w:t>Und.</w:t>
            </w:r>
          </w:p>
        </w:tc>
        <w:tc>
          <w:tcPr>
            <w:tcW w:w="45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47"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6"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w:t>
            </w:r>
          </w:p>
        </w:tc>
        <w:tc>
          <w:tcPr>
            <w:tcW w:w="2442" w:type="pct"/>
            <w:shd w:val="clear" w:color="auto" w:fill="auto"/>
            <w:noWrap/>
            <w:vAlign w:val="center"/>
            <w:hideMark/>
          </w:tcPr>
          <w:p w:rsidR="0077565B" w:rsidRPr="00B439CB" w:rsidRDefault="0077565B" w:rsidP="00956850">
            <w:pPr>
              <w:widowControl/>
              <w:autoSpaceDE/>
              <w:autoSpaceDN/>
              <w:jc w:val="both"/>
              <w:rPr>
                <w:rFonts w:eastAsia="Times New Roman" w:cs="Arial"/>
                <w:color w:val="2F2F2F"/>
                <w:lang w:eastAsia="pt-BR" w:bidi="ar-SA"/>
              </w:rPr>
            </w:pPr>
            <w:r>
              <w:t>Armário alto duas portas com prateleiras internas, tamponamento lateral em MDF 30MM, portas em MDF 15MM amadeirado textura conforme cor existente. Caixa interna MDF 15MM branco tx, revestido em laminado melaminico ambas as faces e borda em fitas de PVC, puxador aba slim metálico preto acetinado, dobradiça metálica com amortecimento 2,10X0,80X0,50 (AXLXP)</w:t>
            </w:r>
          </w:p>
        </w:tc>
        <w:tc>
          <w:tcPr>
            <w:tcW w:w="435" w:type="pct"/>
            <w:shd w:val="clear" w:color="auto" w:fill="auto"/>
            <w:noWrap/>
            <w:vAlign w:val="center"/>
            <w:hideMark/>
          </w:tcPr>
          <w:p w:rsidR="0077565B" w:rsidRDefault="0077565B" w:rsidP="00956850">
            <w:pPr>
              <w:jc w:val="center"/>
            </w:pPr>
            <w:r w:rsidRPr="008274C6">
              <w:rPr>
                <w:rFonts w:eastAsia="Times New Roman" w:cs="Arial"/>
                <w:color w:val="000000"/>
                <w:lang w:val="pt-BR" w:eastAsia="pt-BR" w:bidi="ar-SA"/>
              </w:rPr>
              <w:t>Und.</w:t>
            </w:r>
          </w:p>
        </w:tc>
        <w:tc>
          <w:tcPr>
            <w:tcW w:w="45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47"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6"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w:t>
            </w:r>
          </w:p>
        </w:tc>
        <w:tc>
          <w:tcPr>
            <w:tcW w:w="2442" w:type="pct"/>
            <w:shd w:val="clear" w:color="auto" w:fill="auto"/>
            <w:noWrap/>
            <w:vAlign w:val="center"/>
            <w:hideMark/>
          </w:tcPr>
          <w:p w:rsidR="0077565B" w:rsidRPr="00B439CB" w:rsidRDefault="0077565B" w:rsidP="00956850">
            <w:pPr>
              <w:widowControl/>
              <w:autoSpaceDE/>
              <w:autoSpaceDN/>
              <w:jc w:val="both"/>
              <w:rPr>
                <w:rFonts w:eastAsia="Times New Roman" w:cs="Arial"/>
                <w:color w:val="2F2F2F"/>
                <w:lang w:eastAsia="pt-BR" w:bidi="ar-SA"/>
              </w:rPr>
            </w:pPr>
            <w:r>
              <w:t>Móvel aparador 04 gavetas 02 portas com rodinha de silicone. Tamponamento lateral e superior em MDF 30MM , portas e frentes de gavetas em MDF 15MM amadeirado textura conforme cor existente. caixa interna em MDF 15MM branco TX, revestido em laminado melaminico ambas as faces e bordas em fita de PVC, puxador aba slim metálico preto acetinado, dobradiça metálica com amortecimento, corrediça telescópica larga, sapata metálica niveladora 30KG - 0,85X1,40X0,50 (AXLXP)</w:t>
            </w:r>
          </w:p>
        </w:tc>
        <w:tc>
          <w:tcPr>
            <w:tcW w:w="435" w:type="pct"/>
            <w:shd w:val="clear" w:color="auto" w:fill="auto"/>
            <w:noWrap/>
            <w:vAlign w:val="center"/>
            <w:hideMark/>
          </w:tcPr>
          <w:p w:rsidR="0077565B" w:rsidRDefault="0077565B" w:rsidP="00956850">
            <w:pPr>
              <w:jc w:val="center"/>
            </w:pPr>
            <w:r w:rsidRPr="008274C6">
              <w:rPr>
                <w:rFonts w:eastAsia="Times New Roman" w:cs="Arial"/>
                <w:color w:val="000000"/>
                <w:lang w:val="pt-BR" w:eastAsia="pt-BR" w:bidi="ar-SA"/>
              </w:rPr>
              <w:t>Und.</w:t>
            </w:r>
          </w:p>
        </w:tc>
        <w:tc>
          <w:tcPr>
            <w:tcW w:w="45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47"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6"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w:t>
            </w:r>
          </w:p>
        </w:tc>
        <w:tc>
          <w:tcPr>
            <w:tcW w:w="2442" w:type="pct"/>
            <w:shd w:val="clear" w:color="auto" w:fill="auto"/>
            <w:noWrap/>
            <w:vAlign w:val="center"/>
            <w:hideMark/>
          </w:tcPr>
          <w:p w:rsidR="0077565B" w:rsidRPr="00B439CB" w:rsidRDefault="0077565B" w:rsidP="00956850">
            <w:pPr>
              <w:widowControl/>
              <w:autoSpaceDE/>
              <w:autoSpaceDN/>
              <w:jc w:val="both"/>
              <w:rPr>
                <w:rFonts w:eastAsia="Times New Roman" w:cs="Arial"/>
                <w:color w:val="2F2F2F"/>
                <w:lang w:eastAsia="pt-BR" w:bidi="ar-SA"/>
              </w:rPr>
            </w:pPr>
            <w:r>
              <w:t>Mesa em L - medidas externas exatas 1,50 (Esquerda) x 1,40 (Direita) x 0,80 (altura). Tampo em MDF 30mm, revestido em laminado melamínico amadeirado textura conforme cor existente em ambas as faces e bordas em fita de PVC, contendo furo para passa cabos com acabamento em PVC medindo 56mm de diâmetro. Travessa lado direito inferior ao tampo medindo 0,37x 1,84 (AxL) em MDF 15mm, base para CPU e sapata metálica niveladora.</w:t>
            </w:r>
          </w:p>
        </w:tc>
        <w:tc>
          <w:tcPr>
            <w:tcW w:w="435" w:type="pct"/>
            <w:shd w:val="clear" w:color="auto" w:fill="auto"/>
            <w:noWrap/>
            <w:vAlign w:val="center"/>
            <w:hideMark/>
          </w:tcPr>
          <w:p w:rsidR="0077565B" w:rsidRDefault="0077565B" w:rsidP="00956850">
            <w:pPr>
              <w:jc w:val="center"/>
            </w:pPr>
            <w:r w:rsidRPr="008274C6">
              <w:rPr>
                <w:rFonts w:eastAsia="Times New Roman" w:cs="Arial"/>
                <w:color w:val="000000"/>
                <w:lang w:val="pt-BR" w:eastAsia="pt-BR" w:bidi="ar-SA"/>
              </w:rPr>
              <w:t>Und.</w:t>
            </w:r>
          </w:p>
        </w:tc>
        <w:tc>
          <w:tcPr>
            <w:tcW w:w="45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47"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6"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12</w:t>
            </w:r>
          </w:p>
        </w:tc>
        <w:tc>
          <w:tcPr>
            <w:tcW w:w="2442" w:type="pct"/>
            <w:shd w:val="clear" w:color="auto" w:fill="auto"/>
            <w:noWrap/>
            <w:vAlign w:val="center"/>
            <w:hideMark/>
          </w:tcPr>
          <w:p w:rsidR="0077565B" w:rsidRPr="00B439CB" w:rsidRDefault="0077565B" w:rsidP="00956850">
            <w:pPr>
              <w:widowControl/>
              <w:autoSpaceDE/>
              <w:autoSpaceDN/>
              <w:jc w:val="both"/>
              <w:rPr>
                <w:rFonts w:eastAsia="Times New Roman" w:cs="Arial"/>
                <w:color w:val="2F2F2F"/>
                <w:lang w:eastAsia="pt-BR" w:bidi="ar-SA"/>
              </w:rPr>
            </w:pPr>
            <w:r>
              <w:t>Mesa reta – medidas externas exatas 0,80x1,20x0,70 (AxLxP) – Tampo em MDF 30mm, revestido em laminado melamínico em ambas as faces e bordas em fita de PVC, contendo furo para passa cabos com acabamento em PVC medindo 56mm de diâmetro. Com 1 gaveta com corrediça larga metálica 40cm com capacidade para 30kg, puxador slim preto fosco metálico</w:t>
            </w:r>
          </w:p>
        </w:tc>
        <w:tc>
          <w:tcPr>
            <w:tcW w:w="435" w:type="pct"/>
            <w:shd w:val="clear" w:color="auto" w:fill="auto"/>
            <w:noWrap/>
            <w:vAlign w:val="center"/>
            <w:hideMark/>
          </w:tcPr>
          <w:p w:rsidR="0077565B" w:rsidRDefault="0077565B" w:rsidP="00956850">
            <w:pPr>
              <w:jc w:val="center"/>
            </w:pPr>
            <w:r w:rsidRPr="008274C6">
              <w:rPr>
                <w:rFonts w:eastAsia="Times New Roman" w:cs="Arial"/>
                <w:color w:val="000000"/>
                <w:lang w:val="pt-BR" w:eastAsia="pt-BR" w:bidi="ar-SA"/>
              </w:rPr>
              <w:t>Und.</w:t>
            </w:r>
          </w:p>
        </w:tc>
        <w:tc>
          <w:tcPr>
            <w:tcW w:w="45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47"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6"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13</w:t>
            </w:r>
          </w:p>
        </w:tc>
        <w:tc>
          <w:tcPr>
            <w:tcW w:w="2442" w:type="pct"/>
            <w:shd w:val="clear" w:color="auto" w:fill="auto"/>
            <w:noWrap/>
            <w:vAlign w:val="center"/>
            <w:hideMark/>
          </w:tcPr>
          <w:p w:rsidR="0077565B" w:rsidRPr="00B439CB" w:rsidRDefault="0077565B" w:rsidP="00956850">
            <w:pPr>
              <w:widowControl/>
              <w:autoSpaceDE/>
              <w:autoSpaceDN/>
              <w:jc w:val="both"/>
              <w:rPr>
                <w:rFonts w:eastAsia="Times New Roman" w:cs="Arial"/>
                <w:color w:val="2F2F2F"/>
                <w:lang w:eastAsia="pt-BR" w:bidi="ar-SA"/>
              </w:rPr>
            </w:pPr>
            <w:r>
              <w:t>Porta baixa lateral mesa em mdf 15mm medindo 0,80x0,80x15mm revestido em laminado melamínico amadeirado em ambas as faces e bordas em fita de PVC.</w:t>
            </w:r>
          </w:p>
        </w:tc>
        <w:tc>
          <w:tcPr>
            <w:tcW w:w="435" w:type="pct"/>
            <w:shd w:val="clear" w:color="auto" w:fill="auto"/>
            <w:noWrap/>
            <w:vAlign w:val="center"/>
            <w:hideMark/>
          </w:tcPr>
          <w:p w:rsidR="0077565B" w:rsidRDefault="0077565B" w:rsidP="00956850">
            <w:pPr>
              <w:jc w:val="center"/>
            </w:pPr>
            <w:r w:rsidRPr="008274C6">
              <w:rPr>
                <w:rFonts w:eastAsia="Times New Roman" w:cs="Arial"/>
                <w:color w:val="000000"/>
                <w:lang w:val="pt-BR" w:eastAsia="pt-BR" w:bidi="ar-SA"/>
              </w:rPr>
              <w:t>Und.</w:t>
            </w:r>
          </w:p>
        </w:tc>
        <w:tc>
          <w:tcPr>
            <w:tcW w:w="45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47"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77565B">
        <w:trPr>
          <w:trHeight w:val="57"/>
          <w:jc w:val="center"/>
        </w:trPr>
        <w:tc>
          <w:tcPr>
            <w:tcW w:w="326" w:type="pct"/>
            <w:vAlign w:val="center"/>
          </w:tcPr>
          <w:p w:rsidR="0077565B" w:rsidRPr="00B439CB" w:rsidRDefault="0077565B" w:rsidP="00956850">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14</w:t>
            </w:r>
          </w:p>
        </w:tc>
        <w:tc>
          <w:tcPr>
            <w:tcW w:w="2442" w:type="pct"/>
            <w:shd w:val="clear" w:color="auto" w:fill="auto"/>
            <w:noWrap/>
            <w:vAlign w:val="center"/>
            <w:hideMark/>
          </w:tcPr>
          <w:p w:rsidR="0077565B" w:rsidRPr="00B439CB" w:rsidRDefault="0077565B" w:rsidP="00956850">
            <w:pPr>
              <w:widowControl/>
              <w:autoSpaceDE/>
              <w:autoSpaceDN/>
              <w:jc w:val="both"/>
              <w:rPr>
                <w:rFonts w:eastAsia="Times New Roman" w:cs="Arial"/>
                <w:color w:val="2F2F2F"/>
                <w:lang w:eastAsia="pt-BR" w:bidi="ar-SA"/>
              </w:rPr>
            </w:pPr>
            <w:r>
              <w:t>Armário baixo duas portas com prateleira interna. - medidas externas 0,90x0,80x0,50 (AxLxP) – Tamponamento e portas em MDF 30mm, revestido em laminado melamínico amadeirado textura conforme cor existente em ambas as faces e bordas em fita de PVC, parte interna em MDF 15mm branco tx , com 2 portas de giro com dobradiças metálica e sistema de amortecimento, puxadores slim preto fosco acetinado metálico, 1 prateleira interna em MDF 15mm branco tx, com sapatas niveladoras.</w:t>
            </w:r>
          </w:p>
        </w:tc>
        <w:tc>
          <w:tcPr>
            <w:tcW w:w="435" w:type="pct"/>
            <w:shd w:val="clear" w:color="auto" w:fill="auto"/>
            <w:noWrap/>
            <w:vAlign w:val="center"/>
            <w:hideMark/>
          </w:tcPr>
          <w:p w:rsidR="0077565B" w:rsidRDefault="0077565B" w:rsidP="00956850">
            <w:pPr>
              <w:jc w:val="center"/>
            </w:pPr>
            <w:r w:rsidRPr="008274C6">
              <w:rPr>
                <w:rFonts w:eastAsia="Times New Roman" w:cs="Arial"/>
                <w:color w:val="000000"/>
                <w:lang w:val="pt-BR" w:eastAsia="pt-BR" w:bidi="ar-SA"/>
              </w:rPr>
              <w:t>Und.</w:t>
            </w:r>
          </w:p>
        </w:tc>
        <w:tc>
          <w:tcPr>
            <w:tcW w:w="450" w:type="pct"/>
            <w:shd w:val="clear" w:color="auto" w:fill="auto"/>
            <w:noWrap/>
            <w:vAlign w:val="center"/>
            <w:hideMark/>
          </w:tcPr>
          <w:p w:rsidR="0077565B" w:rsidRPr="00B439CB" w:rsidRDefault="0077565B" w:rsidP="00956850">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50" w:type="pct"/>
            <w:vAlign w:val="center"/>
          </w:tcPr>
          <w:p w:rsidR="0077565B" w:rsidRDefault="0077565B" w:rsidP="0077565B">
            <w:pPr>
              <w:widowControl/>
              <w:autoSpaceDE/>
              <w:autoSpaceDN/>
              <w:jc w:val="center"/>
              <w:rPr>
                <w:rFonts w:eastAsia="Arial Unicode MS" w:cs="Arial"/>
                <w:color w:val="000000"/>
                <w:lang w:val="pt-BR" w:eastAsia="pt-BR" w:bidi="ar-SA"/>
              </w:rPr>
            </w:pPr>
          </w:p>
        </w:tc>
        <w:tc>
          <w:tcPr>
            <w:tcW w:w="447" w:type="pct"/>
            <w:vAlign w:val="center"/>
          </w:tcPr>
          <w:p w:rsidR="0077565B" w:rsidRDefault="0077565B" w:rsidP="0077565B">
            <w:pPr>
              <w:widowControl/>
              <w:autoSpaceDE/>
              <w:autoSpaceDN/>
              <w:jc w:val="center"/>
              <w:rPr>
                <w:rFonts w:eastAsia="Arial Unicode MS" w:cs="Arial"/>
                <w:color w:val="000000"/>
                <w:lang w:val="pt-BR" w:eastAsia="pt-BR" w:bidi="ar-SA"/>
              </w:rPr>
            </w:pPr>
          </w:p>
        </w:tc>
      </w:tr>
      <w:tr w:rsidR="0077565B" w:rsidRPr="00B439CB" w:rsidTr="00E65CE5">
        <w:trPr>
          <w:trHeight w:val="57"/>
          <w:jc w:val="center"/>
        </w:trPr>
        <w:tc>
          <w:tcPr>
            <w:tcW w:w="4553" w:type="pct"/>
            <w:gridSpan w:val="6"/>
            <w:shd w:val="clear" w:color="auto" w:fill="B6DDE8" w:themeFill="accent5" w:themeFillTint="66"/>
            <w:vAlign w:val="center"/>
          </w:tcPr>
          <w:p w:rsidR="0077565B" w:rsidRDefault="0077565B" w:rsidP="0077565B">
            <w:pPr>
              <w:widowControl/>
              <w:autoSpaceDE/>
              <w:autoSpaceDN/>
              <w:jc w:val="right"/>
              <w:rPr>
                <w:rFonts w:eastAsia="Arial Unicode MS" w:cs="Arial"/>
                <w:color w:val="000000"/>
                <w:lang w:val="pt-BR" w:eastAsia="pt-BR" w:bidi="ar-SA"/>
              </w:rPr>
            </w:pPr>
            <w:r w:rsidRPr="0077565B">
              <w:rPr>
                <w:rFonts w:eastAsia="Arial Unicode MS" w:cs="Arial"/>
                <w:b/>
                <w:color w:val="000000"/>
                <w:lang w:val="pt-BR" w:eastAsia="pt-BR" w:bidi="ar-SA"/>
              </w:rPr>
              <w:t>VALOR TOTAL DO LOTE – 0</w:t>
            </w:r>
            <w:r>
              <w:rPr>
                <w:rFonts w:eastAsia="Arial Unicode MS" w:cs="Arial"/>
                <w:b/>
                <w:color w:val="000000"/>
                <w:lang w:val="pt-BR" w:eastAsia="pt-BR" w:bidi="ar-SA"/>
              </w:rPr>
              <w:t>2</w:t>
            </w:r>
            <w:r w:rsidRPr="0077565B">
              <w:rPr>
                <w:rFonts w:eastAsia="Arial Unicode MS" w:cs="Arial"/>
                <w:b/>
                <w:color w:val="000000"/>
                <w:lang w:val="pt-BR" w:eastAsia="pt-BR" w:bidi="ar-SA"/>
              </w:rPr>
              <w:t xml:space="preserve"> R$</w:t>
            </w:r>
          </w:p>
        </w:tc>
        <w:tc>
          <w:tcPr>
            <w:tcW w:w="447" w:type="pct"/>
            <w:shd w:val="clear" w:color="auto" w:fill="B6DDE8" w:themeFill="accent5" w:themeFillTint="66"/>
            <w:vAlign w:val="center"/>
          </w:tcPr>
          <w:p w:rsidR="0077565B" w:rsidRDefault="0077565B" w:rsidP="0077565B">
            <w:pPr>
              <w:widowControl/>
              <w:autoSpaceDE/>
              <w:autoSpaceDN/>
              <w:jc w:val="center"/>
              <w:rPr>
                <w:rFonts w:eastAsia="Arial Unicode MS" w:cs="Arial"/>
                <w:color w:val="000000"/>
                <w:lang w:val="pt-BR" w:eastAsia="pt-BR" w:bidi="ar-SA"/>
              </w:rPr>
            </w:pPr>
          </w:p>
        </w:tc>
      </w:tr>
    </w:tbl>
    <w:p w:rsidR="006905F5" w:rsidRPr="00B439CB" w:rsidRDefault="006905F5" w:rsidP="006905F5">
      <w:pPr>
        <w:widowControl/>
        <w:autoSpaceDE/>
        <w:autoSpaceDN/>
        <w:jc w:val="both"/>
        <w:rPr>
          <w:rFonts w:eastAsia="Times New Roman" w:cs="Arial"/>
          <w:lang w:val="pt-BR" w:eastAsia="pt-BR" w:bidi="ar-SA"/>
        </w:rPr>
      </w:pPr>
    </w:p>
    <w:p w:rsidR="00256794" w:rsidRDefault="00256794" w:rsidP="00497516">
      <w:pPr>
        <w:ind w:left="142"/>
        <w:jc w:val="center"/>
        <w:rPr>
          <w:u w:val="single"/>
        </w:rPr>
      </w:pPr>
      <w:r w:rsidRPr="00A87255">
        <w:rPr>
          <w:u w:val="single"/>
        </w:rPr>
        <w:t>DECLARAÇÃO</w:t>
      </w:r>
    </w:p>
    <w:p w:rsidR="00205794" w:rsidRPr="00A87255" w:rsidRDefault="00205794"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314FBB" w:rsidRDefault="00314FBB" w:rsidP="00314FBB">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314FBB" w:rsidRDefault="00314FBB" w:rsidP="00314FBB">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0E02E7">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0E02E7">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0E02E7">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0E02E7">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0E02E7">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0E02E7">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0E02E7">
        <w:trPr>
          <w:trHeight w:val="454"/>
          <w:jc w:val="center"/>
        </w:trPr>
        <w:tc>
          <w:tcPr>
            <w:tcW w:w="9563" w:type="dxa"/>
            <w:gridSpan w:val="2"/>
          </w:tcPr>
          <w:p w:rsidR="00256794" w:rsidRPr="00A87255" w:rsidRDefault="00256794" w:rsidP="00960E9B">
            <w:r w:rsidRPr="00A87255">
              <w:t>Local e Data:</w:t>
            </w:r>
          </w:p>
        </w:tc>
      </w:tr>
      <w:tr w:rsidR="00256794" w:rsidRPr="00A87255" w:rsidTr="000E02E7">
        <w:trPr>
          <w:trHeight w:val="454"/>
          <w:jc w:val="center"/>
        </w:trPr>
        <w:tc>
          <w:tcPr>
            <w:tcW w:w="9563" w:type="dxa"/>
            <w:gridSpan w:val="2"/>
          </w:tcPr>
          <w:p w:rsidR="00256794" w:rsidRPr="00A87255" w:rsidRDefault="00256794" w:rsidP="00960E9B">
            <w:r w:rsidRPr="00A87255">
              <w:t>Assinatura:</w:t>
            </w:r>
          </w:p>
        </w:tc>
      </w:tr>
    </w:tbl>
    <w:p w:rsidR="00205794" w:rsidRDefault="00205794" w:rsidP="00A87255">
      <w:pPr>
        <w:jc w:val="center"/>
        <w:rPr>
          <w:b/>
          <w:u w:val="single"/>
        </w:rPr>
      </w:pPr>
    </w:p>
    <w:p w:rsidR="00314FBB" w:rsidRDefault="00314FB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9A787F"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A4325" w:rsidRDefault="003A432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A4325" w:rsidRDefault="003A432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9A787F"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FE2EC"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FBDA9"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7C5988">
        <w:t>54/2025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A787F"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591B5"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A787F"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7D3F0"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9A787F"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165E"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bookmarkStart w:id="0" w:name="_GoBack"/>
      <w:bookmarkEnd w:id="0"/>
    </w:p>
    <w:sectPr w:rsidR="00C40613"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F2" w:rsidRDefault="004E31F2">
      <w:r>
        <w:separator/>
      </w:r>
    </w:p>
  </w:endnote>
  <w:endnote w:type="continuationSeparator" w:id="0">
    <w:p w:rsidR="004E31F2" w:rsidRDefault="004E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F2" w:rsidRDefault="004E31F2">
      <w:r>
        <w:separator/>
      </w:r>
    </w:p>
  </w:footnote>
  <w:footnote w:type="continuationSeparator" w:id="0">
    <w:p w:rsidR="004E31F2" w:rsidRDefault="004E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25" w:rsidRDefault="003A432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25" w:rsidRDefault="009A787F">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325" w:rsidRDefault="003A432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A4325" w:rsidRDefault="003A432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25" w:rsidRDefault="003A432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25" w:rsidRDefault="003A432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25" w:rsidRDefault="003A432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nsid w:val="6A5D4E35"/>
    <w:multiLevelType w:val="hybridMultilevel"/>
    <w:tmpl w:val="7422A856"/>
    <w:lvl w:ilvl="0" w:tplc="0416000F">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6">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7D835DEB"/>
    <w:multiLevelType w:val="hybridMultilevel"/>
    <w:tmpl w:val="F5A8C0F6"/>
    <w:lvl w:ilvl="0" w:tplc="9B7A2A7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9"/>
  </w:num>
  <w:num w:numId="5">
    <w:abstractNumId w:val="2"/>
  </w:num>
  <w:num w:numId="6">
    <w:abstractNumId w:val="7"/>
  </w:num>
  <w:num w:numId="7">
    <w:abstractNumId w:val="3"/>
  </w:num>
  <w:num w:numId="8">
    <w:abstractNumId w:val="13"/>
  </w:num>
  <w:num w:numId="9">
    <w:abstractNumId w:val="5"/>
  </w:num>
  <w:num w:numId="10">
    <w:abstractNumId w:val="8"/>
  </w:num>
  <w:num w:numId="11">
    <w:abstractNumId w:val="10"/>
  </w:num>
  <w:num w:numId="12">
    <w:abstractNumId w:val="15"/>
  </w:num>
  <w:num w:numId="13">
    <w:abstractNumId w:val="16"/>
  </w:num>
  <w:num w:numId="14">
    <w:abstractNumId w:val="14"/>
  </w:num>
  <w:num w:numId="15">
    <w:abstractNumId w:val="11"/>
  </w:num>
  <w:num w:numId="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214"/>
    <w:rsid w:val="000866FD"/>
    <w:rsid w:val="0008682F"/>
    <w:rsid w:val="0008725B"/>
    <w:rsid w:val="00087C2B"/>
    <w:rsid w:val="00092E6E"/>
    <w:rsid w:val="00095155"/>
    <w:rsid w:val="00097997"/>
    <w:rsid w:val="000A08ED"/>
    <w:rsid w:val="000A2285"/>
    <w:rsid w:val="000A4FB3"/>
    <w:rsid w:val="000A618F"/>
    <w:rsid w:val="000B1985"/>
    <w:rsid w:val="000B6398"/>
    <w:rsid w:val="000B7ED7"/>
    <w:rsid w:val="000C026A"/>
    <w:rsid w:val="000C05C6"/>
    <w:rsid w:val="000C0DA3"/>
    <w:rsid w:val="000E0296"/>
    <w:rsid w:val="000E02E7"/>
    <w:rsid w:val="000E193F"/>
    <w:rsid w:val="000E2217"/>
    <w:rsid w:val="000E439F"/>
    <w:rsid w:val="000F12A6"/>
    <w:rsid w:val="000F5E8A"/>
    <w:rsid w:val="00100D4C"/>
    <w:rsid w:val="00103325"/>
    <w:rsid w:val="00105AD6"/>
    <w:rsid w:val="00110044"/>
    <w:rsid w:val="00112B62"/>
    <w:rsid w:val="00116D20"/>
    <w:rsid w:val="00117217"/>
    <w:rsid w:val="001206D1"/>
    <w:rsid w:val="00132E03"/>
    <w:rsid w:val="00132FD2"/>
    <w:rsid w:val="00136A8C"/>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95037"/>
    <w:rsid w:val="001A5280"/>
    <w:rsid w:val="001A53DD"/>
    <w:rsid w:val="001A53F4"/>
    <w:rsid w:val="001A6C7B"/>
    <w:rsid w:val="001A7F40"/>
    <w:rsid w:val="001B0EB8"/>
    <w:rsid w:val="001C1CB5"/>
    <w:rsid w:val="001C38FE"/>
    <w:rsid w:val="001C46B5"/>
    <w:rsid w:val="001C5F2C"/>
    <w:rsid w:val="001C64A9"/>
    <w:rsid w:val="001C6F06"/>
    <w:rsid w:val="001D2876"/>
    <w:rsid w:val="001D312E"/>
    <w:rsid w:val="001D7EBA"/>
    <w:rsid w:val="001E246F"/>
    <w:rsid w:val="001E300A"/>
    <w:rsid w:val="001E6579"/>
    <w:rsid w:val="001E7866"/>
    <w:rsid w:val="001F0E4A"/>
    <w:rsid w:val="001F67CC"/>
    <w:rsid w:val="001F7134"/>
    <w:rsid w:val="002001AD"/>
    <w:rsid w:val="00202207"/>
    <w:rsid w:val="00203E30"/>
    <w:rsid w:val="00205794"/>
    <w:rsid w:val="00212B89"/>
    <w:rsid w:val="00222E38"/>
    <w:rsid w:val="00223B6A"/>
    <w:rsid w:val="0022436A"/>
    <w:rsid w:val="002345BE"/>
    <w:rsid w:val="00235971"/>
    <w:rsid w:val="00235E24"/>
    <w:rsid w:val="0023642F"/>
    <w:rsid w:val="00237D0C"/>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0C2"/>
    <w:rsid w:val="002C5F8A"/>
    <w:rsid w:val="002D2774"/>
    <w:rsid w:val="002D5D67"/>
    <w:rsid w:val="002F324D"/>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510DE"/>
    <w:rsid w:val="00353E87"/>
    <w:rsid w:val="0035412C"/>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4325"/>
    <w:rsid w:val="003A5F1B"/>
    <w:rsid w:val="003A6E0D"/>
    <w:rsid w:val="003B0607"/>
    <w:rsid w:val="003C2D5F"/>
    <w:rsid w:val="003C45B7"/>
    <w:rsid w:val="003C5F1E"/>
    <w:rsid w:val="003D1EC6"/>
    <w:rsid w:val="003D2B75"/>
    <w:rsid w:val="003D6DA8"/>
    <w:rsid w:val="003E1E8C"/>
    <w:rsid w:val="003E24CD"/>
    <w:rsid w:val="003E3B0E"/>
    <w:rsid w:val="003F0987"/>
    <w:rsid w:val="003F0D91"/>
    <w:rsid w:val="00402FD4"/>
    <w:rsid w:val="00412210"/>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4BD3"/>
    <w:rsid w:val="004A7020"/>
    <w:rsid w:val="004B1170"/>
    <w:rsid w:val="004C4955"/>
    <w:rsid w:val="004C765B"/>
    <w:rsid w:val="004D7C88"/>
    <w:rsid w:val="004E011F"/>
    <w:rsid w:val="004E31F2"/>
    <w:rsid w:val="004E368A"/>
    <w:rsid w:val="004E3B92"/>
    <w:rsid w:val="004E460F"/>
    <w:rsid w:val="004F0B2E"/>
    <w:rsid w:val="004F2A20"/>
    <w:rsid w:val="004F315F"/>
    <w:rsid w:val="004F4E52"/>
    <w:rsid w:val="004F5783"/>
    <w:rsid w:val="004F6D36"/>
    <w:rsid w:val="00507B87"/>
    <w:rsid w:val="00507D7F"/>
    <w:rsid w:val="0051196C"/>
    <w:rsid w:val="005145DD"/>
    <w:rsid w:val="00514DDF"/>
    <w:rsid w:val="0052335F"/>
    <w:rsid w:val="00525DF5"/>
    <w:rsid w:val="005263FF"/>
    <w:rsid w:val="005264C0"/>
    <w:rsid w:val="00535DE3"/>
    <w:rsid w:val="005362FC"/>
    <w:rsid w:val="00540F98"/>
    <w:rsid w:val="0054376B"/>
    <w:rsid w:val="005464A5"/>
    <w:rsid w:val="0055259E"/>
    <w:rsid w:val="00552D6F"/>
    <w:rsid w:val="00555001"/>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4255"/>
    <w:rsid w:val="005A5C2E"/>
    <w:rsid w:val="005A6FAA"/>
    <w:rsid w:val="005C1EA7"/>
    <w:rsid w:val="005C1F18"/>
    <w:rsid w:val="005C3981"/>
    <w:rsid w:val="005C6476"/>
    <w:rsid w:val="005D1C0F"/>
    <w:rsid w:val="005D1EBF"/>
    <w:rsid w:val="005D4B9A"/>
    <w:rsid w:val="005D4EC1"/>
    <w:rsid w:val="005E3B4D"/>
    <w:rsid w:val="005E5AFC"/>
    <w:rsid w:val="005F1404"/>
    <w:rsid w:val="005F7398"/>
    <w:rsid w:val="005F7550"/>
    <w:rsid w:val="005F7A2F"/>
    <w:rsid w:val="006011F0"/>
    <w:rsid w:val="0060382E"/>
    <w:rsid w:val="00617D0F"/>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4438"/>
    <w:rsid w:val="00684B9D"/>
    <w:rsid w:val="00684BD3"/>
    <w:rsid w:val="00685221"/>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52495"/>
    <w:rsid w:val="00752B2F"/>
    <w:rsid w:val="00764870"/>
    <w:rsid w:val="007679EE"/>
    <w:rsid w:val="00770034"/>
    <w:rsid w:val="007704C5"/>
    <w:rsid w:val="007721FA"/>
    <w:rsid w:val="00772540"/>
    <w:rsid w:val="00774C3D"/>
    <w:rsid w:val="0077565B"/>
    <w:rsid w:val="00780F6F"/>
    <w:rsid w:val="007867C7"/>
    <w:rsid w:val="00794185"/>
    <w:rsid w:val="00796577"/>
    <w:rsid w:val="007976B1"/>
    <w:rsid w:val="007A3457"/>
    <w:rsid w:val="007A3809"/>
    <w:rsid w:val="007A3A0F"/>
    <w:rsid w:val="007A6DD0"/>
    <w:rsid w:val="007B02D6"/>
    <w:rsid w:val="007B2BE1"/>
    <w:rsid w:val="007B5798"/>
    <w:rsid w:val="007B7D40"/>
    <w:rsid w:val="007C3264"/>
    <w:rsid w:val="007C4664"/>
    <w:rsid w:val="007C5988"/>
    <w:rsid w:val="007D07DF"/>
    <w:rsid w:val="007D0A05"/>
    <w:rsid w:val="007D1171"/>
    <w:rsid w:val="007D156C"/>
    <w:rsid w:val="007D1ABE"/>
    <w:rsid w:val="007D210E"/>
    <w:rsid w:val="007D755B"/>
    <w:rsid w:val="007E23E1"/>
    <w:rsid w:val="007E4268"/>
    <w:rsid w:val="007F3302"/>
    <w:rsid w:val="007F4E0E"/>
    <w:rsid w:val="007F680E"/>
    <w:rsid w:val="007F6B75"/>
    <w:rsid w:val="0080310C"/>
    <w:rsid w:val="008052DA"/>
    <w:rsid w:val="00807913"/>
    <w:rsid w:val="008120AD"/>
    <w:rsid w:val="00814738"/>
    <w:rsid w:val="00815E3A"/>
    <w:rsid w:val="00816127"/>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B4292"/>
    <w:rsid w:val="008B4818"/>
    <w:rsid w:val="008C4C03"/>
    <w:rsid w:val="008D0067"/>
    <w:rsid w:val="008E0B32"/>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EA1"/>
    <w:rsid w:val="00943204"/>
    <w:rsid w:val="00954FF6"/>
    <w:rsid w:val="009558D2"/>
    <w:rsid w:val="00955BAF"/>
    <w:rsid w:val="00956850"/>
    <w:rsid w:val="00960E9B"/>
    <w:rsid w:val="00963896"/>
    <w:rsid w:val="00964CB4"/>
    <w:rsid w:val="0096543B"/>
    <w:rsid w:val="00972244"/>
    <w:rsid w:val="00973A52"/>
    <w:rsid w:val="00977997"/>
    <w:rsid w:val="009779BA"/>
    <w:rsid w:val="00982905"/>
    <w:rsid w:val="00982AE1"/>
    <w:rsid w:val="00994500"/>
    <w:rsid w:val="00995B91"/>
    <w:rsid w:val="009A00ED"/>
    <w:rsid w:val="009A127E"/>
    <w:rsid w:val="009A68BF"/>
    <w:rsid w:val="009A6991"/>
    <w:rsid w:val="009A787F"/>
    <w:rsid w:val="009B21A5"/>
    <w:rsid w:val="009B34DE"/>
    <w:rsid w:val="009B569D"/>
    <w:rsid w:val="009C4CE8"/>
    <w:rsid w:val="009C7DF1"/>
    <w:rsid w:val="009D26C9"/>
    <w:rsid w:val="009D6987"/>
    <w:rsid w:val="009E0DA3"/>
    <w:rsid w:val="009E10CF"/>
    <w:rsid w:val="009E15F4"/>
    <w:rsid w:val="009E4A41"/>
    <w:rsid w:val="009E7968"/>
    <w:rsid w:val="009F0FC5"/>
    <w:rsid w:val="009F608B"/>
    <w:rsid w:val="00A01C25"/>
    <w:rsid w:val="00A0202D"/>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5164"/>
    <w:rsid w:val="00A3661D"/>
    <w:rsid w:val="00A42B25"/>
    <w:rsid w:val="00A5052E"/>
    <w:rsid w:val="00A50C5A"/>
    <w:rsid w:val="00A50EF2"/>
    <w:rsid w:val="00A607BE"/>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A00F2"/>
    <w:rsid w:val="00AA2BAB"/>
    <w:rsid w:val="00AA73A9"/>
    <w:rsid w:val="00AB385F"/>
    <w:rsid w:val="00AB475C"/>
    <w:rsid w:val="00AB5954"/>
    <w:rsid w:val="00AB6DA5"/>
    <w:rsid w:val="00AC317E"/>
    <w:rsid w:val="00AC5EE7"/>
    <w:rsid w:val="00AC742C"/>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B2C"/>
    <w:rsid w:val="00B7572D"/>
    <w:rsid w:val="00B91420"/>
    <w:rsid w:val="00B93184"/>
    <w:rsid w:val="00B973E0"/>
    <w:rsid w:val="00B9758F"/>
    <w:rsid w:val="00BA25BD"/>
    <w:rsid w:val="00BA303C"/>
    <w:rsid w:val="00BA476C"/>
    <w:rsid w:val="00BB3981"/>
    <w:rsid w:val="00BB48D3"/>
    <w:rsid w:val="00BC0672"/>
    <w:rsid w:val="00BC0930"/>
    <w:rsid w:val="00BC27EA"/>
    <w:rsid w:val="00BC3EC2"/>
    <w:rsid w:val="00BC4096"/>
    <w:rsid w:val="00BC7C6D"/>
    <w:rsid w:val="00BD15E7"/>
    <w:rsid w:val="00BD4B67"/>
    <w:rsid w:val="00BE092A"/>
    <w:rsid w:val="00BE21B9"/>
    <w:rsid w:val="00BE3841"/>
    <w:rsid w:val="00BE7EB9"/>
    <w:rsid w:val="00BF03F3"/>
    <w:rsid w:val="00BF1317"/>
    <w:rsid w:val="00BF5F85"/>
    <w:rsid w:val="00BF6B46"/>
    <w:rsid w:val="00BF6F3B"/>
    <w:rsid w:val="00BF7C52"/>
    <w:rsid w:val="00C00E78"/>
    <w:rsid w:val="00C03D52"/>
    <w:rsid w:val="00C048E5"/>
    <w:rsid w:val="00C06A9F"/>
    <w:rsid w:val="00C07B96"/>
    <w:rsid w:val="00C1350B"/>
    <w:rsid w:val="00C141B5"/>
    <w:rsid w:val="00C15446"/>
    <w:rsid w:val="00C266F8"/>
    <w:rsid w:val="00C276FB"/>
    <w:rsid w:val="00C279D9"/>
    <w:rsid w:val="00C30A21"/>
    <w:rsid w:val="00C31A24"/>
    <w:rsid w:val="00C320CF"/>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86B2B"/>
    <w:rsid w:val="00C95FF8"/>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499B"/>
    <w:rsid w:val="00D05913"/>
    <w:rsid w:val="00D123AC"/>
    <w:rsid w:val="00D219F8"/>
    <w:rsid w:val="00D26AAB"/>
    <w:rsid w:val="00D27776"/>
    <w:rsid w:val="00D31328"/>
    <w:rsid w:val="00D31664"/>
    <w:rsid w:val="00D334FB"/>
    <w:rsid w:val="00D34ED1"/>
    <w:rsid w:val="00D36F96"/>
    <w:rsid w:val="00D37D0F"/>
    <w:rsid w:val="00D4021B"/>
    <w:rsid w:val="00D44180"/>
    <w:rsid w:val="00D45478"/>
    <w:rsid w:val="00D5030A"/>
    <w:rsid w:val="00D636B6"/>
    <w:rsid w:val="00D6395A"/>
    <w:rsid w:val="00D64410"/>
    <w:rsid w:val="00D65A9D"/>
    <w:rsid w:val="00D71048"/>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35B99"/>
    <w:rsid w:val="00E41C6C"/>
    <w:rsid w:val="00E41EE0"/>
    <w:rsid w:val="00E50B1B"/>
    <w:rsid w:val="00E51B78"/>
    <w:rsid w:val="00E53FFD"/>
    <w:rsid w:val="00E6127F"/>
    <w:rsid w:val="00E61712"/>
    <w:rsid w:val="00E65CE5"/>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D7808"/>
    <w:rsid w:val="00EE0EF5"/>
    <w:rsid w:val="00EE100C"/>
    <w:rsid w:val="00EE50CC"/>
    <w:rsid w:val="00EF0305"/>
    <w:rsid w:val="00EF121C"/>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64E0"/>
    <w:rsid w:val="00F674CC"/>
    <w:rsid w:val="00F823B3"/>
    <w:rsid w:val="00F82F8E"/>
    <w:rsid w:val="00F838FD"/>
    <w:rsid w:val="00F83F91"/>
    <w:rsid w:val="00F861C1"/>
    <w:rsid w:val="00FA5E2C"/>
    <w:rsid w:val="00FA67AD"/>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9C1C2D-FCA1-43FA-8C4E-BFCD4C39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8D92-D1E6-4BB5-803C-84E7BD76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2045</Words>
  <Characters>11043</Characters>
  <Application>Microsoft Office Word</Application>
  <DocSecurity>0</DocSecurity>
  <Lines>92</Lines>
  <Paragraphs>26</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54/2025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2025-10-10T18:11:00Z</cp:lastPrinted>
  <dcterms:created xsi:type="dcterms:W3CDTF">2025-10-30T11:06:00Z</dcterms:created>
  <dcterms:modified xsi:type="dcterms:W3CDTF">2025-10-30T11:06:00Z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